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420" w:leftChars="200" w:firstLine="140" w:firstLineChars="50"/>
        <w:rPr>
          <w:rFonts w:asciiTheme="minorEastAsia" w:hAnsiTheme="minorEastAsia"/>
          <w:sz w:val="28"/>
          <w:szCs w:val="28"/>
        </w:rPr>
      </w:pPr>
    </w:p>
    <w:p>
      <w:pPr>
        <w:ind w:firstLine="1440" w:firstLineChars="400"/>
        <w:rPr>
          <w:rFonts w:ascii="黑体" w:hAnsi="黑体" w:eastAsia="黑体"/>
          <w:sz w:val="36"/>
          <w:szCs w:val="36"/>
        </w:rPr>
      </w:pPr>
      <w:r>
        <w:rPr>
          <w:rFonts w:hint="eastAsia" w:ascii="黑体" w:hAnsi="黑体" w:eastAsia="黑体"/>
          <w:sz w:val="36"/>
          <w:szCs w:val="36"/>
        </w:rPr>
        <w:t>浙江师范大学博士后进站基本条件</w:t>
      </w:r>
    </w:p>
    <w:p>
      <w:pPr>
        <w:pStyle w:val="10"/>
        <w:ind w:left="420" w:leftChars="200" w:firstLine="1440" w:firstLineChars="400"/>
        <w:rPr>
          <w:rFonts w:ascii="黑体" w:hAnsi="黑体" w:eastAsia="黑体"/>
          <w:sz w:val="36"/>
          <w:szCs w:val="36"/>
        </w:rPr>
      </w:pPr>
    </w:p>
    <w:p>
      <w:pPr>
        <w:pStyle w:val="10"/>
        <w:ind w:left="420" w:leftChars="200" w:firstLine="141" w:firstLineChars="50"/>
        <w:rPr>
          <w:rFonts w:asciiTheme="minorEastAsia" w:hAnsiTheme="minorEastAsia"/>
          <w:b/>
          <w:sz w:val="28"/>
          <w:szCs w:val="28"/>
        </w:rPr>
      </w:pPr>
      <w:r>
        <w:rPr>
          <w:rFonts w:hint="eastAsia" w:asciiTheme="minorEastAsia" w:hAnsiTheme="minorEastAsia"/>
          <w:b/>
          <w:sz w:val="28"/>
          <w:szCs w:val="28"/>
        </w:rPr>
        <w:t>一、申请人进站应具备以下基本条件</w:t>
      </w:r>
    </w:p>
    <w:p>
      <w:pPr>
        <w:ind w:firstLine="560" w:firstLineChars="200"/>
        <w:rPr>
          <w:rFonts w:asciiTheme="minorEastAsia" w:hAnsiTheme="minorEastAsia"/>
          <w:sz w:val="28"/>
          <w:szCs w:val="28"/>
        </w:rPr>
      </w:pPr>
      <w:r>
        <w:rPr>
          <w:rFonts w:hint="eastAsia" w:asciiTheme="minorEastAsia" w:hAnsiTheme="minorEastAsia"/>
          <w:sz w:val="28"/>
          <w:szCs w:val="28"/>
        </w:rPr>
        <w:t>1、具有博士学位，品学兼优，身体健康，年龄一般在35岁以下（含35岁）；</w:t>
      </w:r>
    </w:p>
    <w:p>
      <w:pPr>
        <w:ind w:firstLine="560" w:firstLineChars="200"/>
        <w:rPr>
          <w:rFonts w:asciiTheme="minorEastAsia" w:hAnsiTheme="minorEastAsia"/>
          <w:sz w:val="28"/>
          <w:szCs w:val="28"/>
        </w:rPr>
      </w:pPr>
      <w:r>
        <w:rPr>
          <w:rFonts w:hint="eastAsia" w:asciiTheme="minorEastAsia" w:hAnsiTheme="minorEastAsia"/>
          <w:sz w:val="28"/>
          <w:szCs w:val="28"/>
        </w:rPr>
        <w:t>2、定向委培、在职人员以及现役军人身份的进站人员需脱产从事博士后研究工作，党政机关干部不得从事博士后研究工作。</w:t>
      </w:r>
    </w:p>
    <w:p>
      <w:pPr>
        <w:ind w:firstLine="555"/>
        <w:rPr>
          <w:rFonts w:asciiTheme="minorEastAsia" w:hAnsiTheme="minorEastAsia"/>
          <w:sz w:val="28"/>
          <w:szCs w:val="28"/>
        </w:rPr>
      </w:pPr>
      <w:r>
        <w:rPr>
          <w:rFonts w:hint="eastAsia" w:asciiTheme="minorEastAsia" w:hAnsiTheme="minorEastAsia"/>
          <w:sz w:val="28"/>
          <w:szCs w:val="28"/>
        </w:rPr>
        <w:t>3、具备一定的学术水平和业务能力，符合各流动站要求的进站条件，同时符合下列条件之一：</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①博士学位论文及答辩成绩优秀。</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②获得校级及以上优秀博士生称号。</w:t>
      </w:r>
    </w:p>
    <w:p>
      <w:pPr>
        <w:spacing w:line="560" w:lineRule="exact"/>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③进站前，以独立或第一作者（通讯作者视同第一作者，下同）身份，文科类在一级或SSCI、A&amp;HCI期刊上发表学术论文1篇（含录用）；理工科在权威期刊上发表论文1篇，或者一级期刊上发表论文</w:t>
      </w:r>
      <w:r>
        <w:rPr>
          <w:rFonts w:asciiTheme="minorEastAsia" w:hAnsiTheme="minorEastAsia"/>
          <w:color w:val="000000"/>
          <w:sz w:val="28"/>
          <w:szCs w:val="28"/>
        </w:rPr>
        <w:t>2</w:t>
      </w:r>
      <w:r>
        <w:rPr>
          <w:rFonts w:hint="eastAsia" w:asciiTheme="minorEastAsia" w:hAnsiTheme="minorEastAsia"/>
          <w:color w:val="000000"/>
          <w:sz w:val="28"/>
          <w:szCs w:val="28"/>
        </w:rPr>
        <w:t>篇（含录用）。</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④作为主要完成者（国家排名前5，省部级排名前3）获得省部级三等奖以上的奖励。</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⑤参加过省部级以上研究课题，有材料证明已取得重要的阶段性研究成果。</w:t>
      </w:r>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⑥两位推荐人系国内外知名的同行专家。</w:t>
      </w:r>
    </w:p>
    <w:p>
      <w:pPr>
        <w:spacing w:line="560" w:lineRule="exact"/>
        <w:ind w:firstLine="560" w:firstLineChars="200"/>
        <w:rPr>
          <w:rFonts w:asciiTheme="minorEastAsia" w:hAnsiTheme="minorEastAsia"/>
          <w:color w:val="FF0000"/>
          <w:sz w:val="28"/>
          <w:szCs w:val="28"/>
        </w:rPr>
      </w:pPr>
      <w:r>
        <w:rPr>
          <w:rFonts w:hint="eastAsia" w:asciiTheme="minorEastAsia" w:hAnsiTheme="minorEastAsia"/>
          <w:sz w:val="28"/>
          <w:szCs w:val="28"/>
        </w:rPr>
        <w:t>⑦确因研究项目或学科建设需要，</w:t>
      </w:r>
      <w:r>
        <w:rPr>
          <w:rFonts w:hint="eastAsia" w:asciiTheme="minorEastAsia" w:hAnsiTheme="minorEastAsia"/>
          <w:color w:val="000000"/>
          <w:sz w:val="28"/>
          <w:szCs w:val="28"/>
        </w:rPr>
        <w:t>经流动站博士后导师同意，</w:t>
      </w:r>
      <w:r>
        <w:rPr>
          <w:rFonts w:hint="eastAsia" w:asciiTheme="minorEastAsia" w:hAnsiTheme="minorEastAsia"/>
          <w:sz w:val="28"/>
          <w:szCs w:val="28"/>
        </w:rPr>
        <w:t>流动站工作班子评议，一致认为有发展潜力者，可不受上述条件限制。</w:t>
      </w:r>
    </w:p>
    <w:p>
      <w:pPr>
        <w:ind w:left="560"/>
        <w:rPr>
          <w:rFonts w:asciiTheme="minorEastAsia" w:hAnsiTheme="minorEastAsia"/>
          <w:b/>
          <w:sz w:val="28"/>
          <w:szCs w:val="28"/>
        </w:rPr>
      </w:pPr>
      <w:r>
        <w:rPr>
          <w:rFonts w:hint="eastAsia" w:asciiTheme="minorEastAsia" w:hAnsiTheme="minorEastAsia"/>
          <w:b/>
          <w:sz w:val="28"/>
          <w:szCs w:val="28"/>
        </w:rPr>
        <w:t>二、“三类人员”和获得博士学位超过3年的特殊人员进站要求</w:t>
      </w:r>
    </w:p>
    <w:p>
      <w:pPr>
        <w:ind w:left="560"/>
        <w:rPr>
          <w:rFonts w:asciiTheme="minorEastAsia" w:hAnsiTheme="minorEastAsia"/>
          <w:sz w:val="28"/>
          <w:szCs w:val="28"/>
        </w:rPr>
      </w:pPr>
      <w:r>
        <w:rPr>
          <w:rFonts w:hint="eastAsia" w:asciiTheme="minorEastAsia" w:hAnsiTheme="minorEastAsia"/>
          <w:sz w:val="28"/>
          <w:szCs w:val="28"/>
        </w:rPr>
        <w:t>1、“三类人员”等特殊人员包括：在职人员（含定向委培、现役</w:t>
      </w:r>
    </w:p>
    <w:p>
      <w:pPr>
        <w:rPr>
          <w:rFonts w:asciiTheme="minorEastAsia" w:hAnsiTheme="minorEastAsia"/>
          <w:sz w:val="28"/>
          <w:szCs w:val="28"/>
        </w:rPr>
      </w:pPr>
      <w:r>
        <w:rPr>
          <w:rFonts w:hint="eastAsia" w:asciiTheme="minorEastAsia" w:hAnsiTheme="minorEastAsia"/>
          <w:sz w:val="28"/>
          <w:szCs w:val="28"/>
        </w:rPr>
        <w:t>军人）、超龄人员（超过35周岁）和本单位同一一级学科人员。</w:t>
      </w:r>
    </w:p>
    <w:p>
      <w:pPr>
        <w:ind w:left="560"/>
        <w:rPr>
          <w:rFonts w:asciiTheme="minorEastAsia" w:hAnsiTheme="minorEastAsia"/>
          <w:sz w:val="28"/>
          <w:szCs w:val="28"/>
        </w:rPr>
      </w:pPr>
      <w:r>
        <w:rPr>
          <w:rFonts w:hint="eastAsia" w:asciiTheme="minorEastAsia" w:hAnsiTheme="minorEastAsia"/>
          <w:sz w:val="28"/>
          <w:szCs w:val="28"/>
        </w:rPr>
        <w:t>2、根据规定，招收“三类人员”等特殊人员的总数与进站总人</w:t>
      </w:r>
    </w:p>
    <w:p>
      <w:pPr>
        <w:rPr>
          <w:rFonts w:asciiTheme="minorEastAsia" w:hAnsiTheme="minorEastAsia"/>
          <w:sz w:val="28"/>
          <w:szCs w:val="28"/>
        </w:rPr>
      </w:pPr>
      <w:r>
        <w:rPr>
          <w:rFonts w:hint="eastAsia" w:asciiTheme="minorEastAsia" w:hAnsiTheme="minorEastAsia"/>
          <w:sz w:val="28"/>
          <w:szCs w:val="28"/>
        </w:rPr>
        <w:t>数的比列需严格控制，招收“三类人员”的比列以上一年度招收情况为基数，比列超过50%的逐步降低比例至50%以下。</w:t>
      </w:r>
    </w:p>
    <w:p>
      <w:pPr>
        <w:ind w:left="560"/>
        <w:rPr>
          <w:rFonts w:asciiTheme="minorEastAsia" w:hAnsiTheme="minorEastAsia"/>
          <w:sz w:val="28"/>
          <w:szCs w:val="28"/>
        </w:rPr>
      </w:pPr>
      <w:r>
        <w:rPr>
          <w:rFonts w:hint="eastAsia" w:asciiTheme="minorEastAsia" w:hAnsiTheme="minorEastAsia"/>
          <w:sz w:val="28"/>
          <w:szCs w:val="28"/>
        </w:rPr>
        <w:t>3、申请进入流动站的超龄人员，需符合以下条件之一：</w:t>
      </w:r>
    </w:p>
    <w:p>
      <w:pPr>
        <w:ind w:left="560"/>
        <w:rPr>
          <w:rFonts w:asciiTheme="minorEastAsia" w:hAnsiTheme="minorEastAsia"/>
          <w:sz w:val="28"/>
          <w:szCs w:val="28"/>
        </w:rPr>
      </w:pPr>
      <w:r>
        <w:rPr>
          <w:rFonts w:hint="eastAsia" w:asciiTheme="minorEastAsia" w:hAnsiTheme="minorEastAsia"/>
          <w:sz w:val="28"/>
          <w:szCs w:val="28"/>
        </w:rPr>
        <w:t>a、博士期间获校一等奖学金、校长奖学金或同等级别奖学金；</w:t>
      </w:r>
    </w:p>
    <w:p>
      <w:pPr>
        <w:ind w:left="560"/>
        <w:rPr>
          <w:rFonts w:asciiTheme="minorEastAsia" w:hAnsiTheme="minorEastAsia"/>
          <w:sz w:val="28"/>
          <w:szCs w:val="28"/>
        </w:rPr>
      </w:pPr>
      <w:r>
        <w:rPr>
          <w:rFonts w:hint="eastAsia" w:asciiTheme="minorEastAsia" w:hAnsiTheme="minorEastAsia"/>
          <w:sz w:val="28"/>
          <w:szCs w:val="28"/>
        </w:rPr>
        <w:t>b、现主持或作为主要成员承担省部级以上项目或基金；</w:t>
      </w:r>
    </w:p>
    <w:p>
      <w:pPr>
        <w:ind w:left="560"/>
        <w:rPr>
          <w:rFonts w:asciiTheme="minorEastAsia" w:hAnsiTheme="minorEastAsia"/>
          <w:sz w:val="28"/>
          <w:szCs w:val="28"/>
        </w:rPr>
      </w:pPr>
      <w:r>
        <w:rPr>
          <w:rFonts w:hint="eastAsia" w:asciiTheme="minorEastAsia" w:hAnsiTheme="minorEastAsia"/>
          <w:sz w:val="28"/>
          <w:szCs w:val="28"/>
        </w:rPr>
        <w:t>c、获省、部级以上奖励；</w:t>
      </w:r>
    </w:p>
    <w:p>
      <w:pPr>
        <w:ind w:left="560"/>
        <w:rPr>
          <w:rFonts w:asciiTheme="minorEastAsia" w:hAnsiTheme="minorEastAsia"/>
          <w:sz w:val="28"/>
          <w:szCs w:val="28"/>
        </w:rPr>
      </w:pPr>
      <w:r>
        <w:rPr>
          <w:rFonts w:hint="eastAsia" w:asciiTheme="minorEastAsia" w:hAnsiTheme="minorEastAsia"/>
          <w:sz w:val="28"/>
          <w:szCs w:val="28"/>
        </w:rPr>
        <w:t>d、世界知名院校获得博士学位的外籍或留学人员；</w:t>
      </w:r>
    </w:p>
    <w:p>
      <w:pPr>
        <w:ind w:left="560"/>
        <w:rPr>
          <w:rFonts w:asciiTheme="minorEastAsia" w:hAnsiTheme="minorEastAsia"/>
          <w:sz w:val="28"/>
          <w:szCs w:val="28"/>
        </w:rPr>
      </w:pPr>
      <w:r>
        <w:rPr>
          <w:rFonts w:hint="eastAsia" w:asciiTheme="minorEastAsia" w:hAnsiTheme="minorEastAsia"/>
          <w:sz w:val="28"/>
          <w:szCs w:val="28"/>
        </w:rPr>
        <w:t>e、具有合作导师承担的重大科研项目急需的科研能力。</w:t>
      </w:r>
    </w:p>
    <w:p>
      <w:pPr>
        <w:pStyle w:val="10"/>
        <w:ind w:left="420" w:leftChars="200" w:firstLine="140" w:firstLineChars="50"/>
        <w:rPr>
          <w:rFonts w:asciiTheme="minorEastAsia" w:hAnsiTheme="minorEastAsia"/>
          <w:sz w:val="28"/>
          <w:szCs w:val="28"/>
        </w:rPr>
      </w:pPr>
    </w:p>
    <w:p>
      <w:pPr>
        <w:rPr>
          <w:rFonts w:ascii="黑体" w:hAnsi="黑体" w:eastAsia="黑体"/>
          <w:b/>
          <w:sz w:val="36"/>
          <w:szCs w:val="36"/>
        </w:rPr>
      </w:pPr>
      <w:r>
        <w:rPr>
          <w:rFonts w:ascii="黑体" w:hAnsi="黑体" w:eastAsia="黑体"/>
          <w:b/>
          <w:sz w:val="36"/>
          <w:szCs w:val="36"/>
        </w:rPr>
        <w:br w:type="page"/>
      </w:r>
    </w:p>
    <w:p>
      <w:pPr>
        <w:rPr>
          <w:rFonts w:ascii="黑体" w:hAnsi="黑体" w:eastAsia="黑体"/>
          <w:b/>
          <w:sz w:val="36"/>
          <w:szCs w:val="36"/>
        </w:rPr>
      </w:pPr>
    </w:p>
    <w:p>
      <w:pPr>
        <w:ind w:firstLine="1608" w:firstLineChars="445"/>
        <w:rPr>
          <w:rFonts w:ascii="黑体" w:hAnsi="黑体" w:eastAsia="黑体"/>
          <w:b/>
          <w:sz w:val="36"/>
          <w:szCs w:val="36"/>
        </w:rPr>
      </w:pPr>
      <w:r>
        <w:rPr>
          <w:rFonts w:ascii="黑体" w:hAnsi="黑体" w:eastAsia="黑体"/>
          <w:b/>
          <w:sz w:val="36"/>
          <w:szCs w:val="36"/>
        </w:rPr>
        <w:t>浙江师范大学博士后进站办理流程</w:t>
      </w:r>
    </w:p>
    <w:p>
      <w:pPr>
        <w:rPr>
          <w:sz w:val="28"/>
          <w:szCs w:val="28"/>
        </w:rPr>
      </w:pPr>
    </w:p>
    <w:p>
      <w:pPr>
        <w:ind w:firstLine="560" w:firstLineChars="200"/>
        <w:rPr>
          <w:sz w:val="28"/>
          <w:szCs w:val="28"/>
        </w:rPr>
      </w:pPr>
      <w:r>
        <w:rPr>
          <w:sz w:val="28"/>
          <w:szCs w:val="28"/>
        </w:rPr>
        <w:t>博士后</w:t>
      </w:r>
      <w:r>
        <w:rPr>
          <w:rFonts w:hint="eastAsia"/>
          <w:sz w:val="28"/>
          <w:szCs w:val="28"/>
        </w:rPr>
        <w:t>流动站</w:t>
      </w:r>
      <w:r>
        <w:rPr>
          <w:sz w:val="28"/>
          <w:szCs w:val="28"/>
        </w:rPr>
        <w:t>本着公平竞争</w:t>
      </w:r>
      <w:r>
        <w:rPr>
          <w:rFonts w:hint="eastAsia"/>
          <w:sz w:val="28"/>
          <w:szCs w:val="28"/>
        </w:rPr>
        <w:t>、</w:t>
      </w:r>
      <w:r>
        <w:rPr>
          <w:sz w:val="28"/>
          <w:szCs w:val="28"/>
        </w:rPr>
        <w:t>择优录用和宁缺毋滥的原则招聘博士后研究人员。</w:t>
      </w:r>
    </w:p>
    <w:p>
      <w:pPr>
        <w:ind w:firstLine="700" w:firstLineChars="250"/>
        <w:rPr>
          <w:sz w:val="28"/>
          <w:szCs w:val="28"/>
        </w:rPr>
      </w:pPr>
      <w:r>
        <w:rPr>
          <w:rFonts w:hint="eastAsia" w:asciiTheme="minorEastAsia" w:hAnsiTheme="minorEastAsia"/>
          <w:sz w:val="28"/>
          <w:szCs w:val="28"/>
        </w:rPr>
        <w:t>一、</w:t>
      </w:r>
      <w:r>
        <w:rPr>
          <w:rFonts w:hint="eastAsia"/>
          <w:sz w:val="28"/>
          <w:szCs w:val="28"/>
        </w:rPr>
        <w:t>申请人网查看当年的浙江师范大学博士后招聘计划及学校博士后管理的相关文件，联系相关的合作导师。填写《浙江师范大学博士后申请表》，将申请表、代表性学术成果和博士学位论文等材料一同报流动站。</w:t>
      </w:r>
    </w:p>
    <w:p>
      <w:pPr>
        <w:ind w:firstLine="560" w:firstLineChars="200"/>
        <w:rPr>
          <w:rFonts w:asciiTheme="minorEastAsia" w:hAnsiTheme="minorEastAsia"/>
          <w:sz w:val="28"/>
          <w:szCs w:val="28"/>
        </w:rPr>
      </w:pPr>
      <w:r>
        <w:rPr>
          <w:rFonts w:hint="eastAsia" w:asciiTheme="minorEastAsia" w:hAnsiTheme="minorEastAsia"/>
          <w:sz w:val="28"/>
          <w:szCs w:val="28"/>
        </w:rPr>
        <w:t>二、</w:t>
      </w:r>
      <w:r>
        <w:rPr>
          <w:rFonts w:hint="eastAsia"/>
          <w:sz w:val="28"/>
          <w:szCs w:val="28"/>
        </w:rPr>
        <w:t>流通站根据国家、省及学校博士后管理文件规定的进站条件进行资格审查后组织面试，面试通过后，经学院同意，学院党委政审通过，报学校博管办审核（外籍、港澳台人员须经国际交流与合作处审批）。</w:t>
      </w:r>
    </w:p>
    <w:p>
      <w:pPr>
        <w:ind w:firstLine="560" w:firstLineChars="200"/>
        <w:rPr>
          <w:rFonts w:hint="eastAsia" w:asciiTheme="minorEastAsia" w:hAnsiTheme="minorEastAsia"/>
          <w:sz w:val="28"/>
          <w:szCs w:val="28"/>
        </w:rPr>
      </w:pPr>
      <w:r>
        <w:rPr>
          <w:rFonts w:hint="eastAsia" w:asciiTheme="minorEastAsia" w:hAnsiTheme="minorEastAsia"/>
          <w:sz w:val="28"/>
          <w:szCs w:val="28"/>
        </w:rPr>
        <w:t>三、申请人登录中国博士后网站</w:t>
      </w:r>
      <w:r>
        <w:rPr>
          <w:rFonts w:hint="eastAsia" w:asciiTheme="minorEastAsia" w:hAnsiTheme="minorEastAsia"/>
          <w:sz w:val="28"/>
          <w:szCs w:val="28"/>
          <w:lang w:eastAsia="zh-CN"/>
        </w:rPr>
        <w:t>（http://www.chinapostdoctor.org.cn/）</w:t>
      </w:r>
      <w:r>
        <w:rPr>
          <w:rFonts w:hint="eastAsia" w:asciiTheme="minorEastAsia" w:hAnsiTheme="minorEastAsia"/>
          <w:sz w:val="28"/>
          <w:szCs w:val="28"/>
        </w:rPr>
        <w:t>填写进站申请，学校博管办审核通过后，提交浙江省博管办审批。</w:t>
      </w:r>
    </w:p>
    <w:p>
      <w:pPr>
        <w:pStyle w:val="10"/>
        <w:ind w:left="420" w:leftChars="200" w:firstLine="140" w:firstLineChars="50"/>
        <w:rPr>
          <w:rFonts w:asciiTheme="minorEastAsia" w:hAnsiTheme="minorEastAsia"/>
          <w:sz w:val="28"/>
          <w:szCs w:val="28"/>
        </w:rPr>
      </w:pPr>
      <w:r>
        <w:rPr>
          <w:rFonts w:hint="eastAsia" w:asciiTheme="minorEastAsia" w:hAnsiTheme="minorEastAsia"/>
          <w:sz w:val="28"/>
          <w:szCs w:val="28"/>
        </w:rPr>
        <w:t>四、省博管办审批通过后，被录用的博士后人员凭录用通知单，</w:t>
      </w:r>
    </w:p>
    <w:p>
      <w:pPr>
        <w:rPr>
          <w:rFonts w:asciiTheme="minorEastAsia" w:hAnsiTheme="minorEastAsia"/>
          <w:sz w:val="28"/>
          <w:szCs w:val="28"/>
        </w:rPr>
      </w:pPr>
      <w:r>
        <w:rPr>
          <w:rFonts w:hint="eastAsia" w:asciiTheme="minorEastAsia" w:hAnsiTheme="minorEastAsia"/>
          <w:sz w:val="28"/>
          <w:szCs w:val="28"/>
        </w:rPr>
        <w:t>携带身份证（护照、港澳台人员提供该地区身份证）及博士学历、学位证书（外籍博士须提供中国驻外使领馆出具的学位认证；留学回国博士须提供教育部留学服务中心开具的《国（境）外学历学位认证书》）原件到校博管办进行核验。</w:t>
      </w:r>
    </w:p>
    <w:p>
      <w:pPr>
        <w:pStyle w:val="10"/>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asciiTheme="minorEastAsia" w:hAnsiTheme="minorEastAsia"/>
          <w:sz w:val="28"/>
          <w:szCs w:val="28"/>
        </w:rPr>
      </w:pPr>
      <w:r>
        <w:rPr>
          <w:rFonts w:hint="eastAsia" w:asciiTheme="minorEastAsia" w:hAnsiTheme="minorEastAsia"/>
          <w:sz w:val="28"/>
          <w:szCs w:val="28"/>
        </w:rPr>
        <w:t>五、学校安排体检，体检合格后，办理报到手续，并签订工作协议。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sz w:val="28"/>
          <w:szCs w:val="28"/>
        </w:rPr>
      </w:pPr>
      <w:r>
        <w:rPr>
          <w:rFonts w:hint="eastAsia"/>
          <w:b/>
          <w:sz w:val="28"/>
          <w:szCs w:val="28"/>
        </w:rPr>
        <w:t>提交材料清单</w:t>
      </w:r>
      <w:r>
        <w:rPr>
          <w:rFonts w:hint="eastAsia"/>
          <w:sz w:val="28"/>
          <w:szCs w:val="28"/>
        </w:rPr>
        <w:t>：</w:t>
      </w:r>
    </w:p>
    <w:p>
      <w:pPr>
        <w:pStyle w:val="10"/>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asciiTheme="minorEastAsia" w:hAnsiTheme="minorEastAsia"/>
          <w:sz w:val="28"/>
          <w:szCs w:val="28"/>
        </w:rPr>
      </w:pPr>
      <w:r>
        <w:rPr>
          <w:rFonts w:hint="eastAsia" w:asciiTheme="minorEastAsia" w:hAnsiTheme="minorEastAsia"/>
          <w:sz w:val="28"/>
          <w:szCs w:val="28"/>
        </w:rPr>
        <w:t>（一）《浙江师范大学</w:t>
      </w:r>
      <w:r>
        <w:rPr>
          <w:rFonts w:asciiTheme="minorEastAsia" w:hAnsiTheme="minorEastAsia"/>
          <w:sz w:val="28"/>
          <w:szCs w:val="28"/>
        </w:rPr>
        <w:t>博士后申请表</w:t>
      </w:r>
      <w:r>
        <w:rPr>
          <w:rFonts w:hint="eastAsia" w:asciiTheme="minorEastAsia" w:hAnsiTheme="minorEastAsia"/>
          <w:sz w:val="28"/>
          <w:szCs w:val="28"/>
        </w:rPr>
        <w:t>》（2份）</w:t>
      </w:r>
    </w:p>
    <w:p>
      <w:pPr>
        <w:pStyle w:val="10"/>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ascii="仿宋" w:hAnsi="仿宋" w:eastAsia="仿宋" w:cs="仿宋"/>
          <w:sz w:val="32"/>
          <w:szCs w:val="32"/>
        </w:rPr>
      </w:pPr>
      <w:r>
        <w:rPr>
          <w:rFonts w:hint="eastAsia" w:asciiTheme="minorEastAsia" w:hAnsiTheme="minorEastAsia"/>
          <w:sz w:val="28"/>
          <w:szCs w:val="28"/>
        </w:rPr>
        <w:t>（二）《博士后研究人员进站审核表》（2份）中国博士后网站下载</w:t>
      </w:r>
      <w:r>
        <w:rPr>
          <w:rFonts w:asciiTheme="minorEastAsia" w:hAnsiTheme="minorEastAsia"/>
          <w:sz w:val="28"/>
          <w:szCs w:val="28"/>
        </w:rPr>
        <w:t>http://www.chinapostdoctor.org.cn/business/download.html</w:t>
      </w:r>
    </w:p>
    <w:p>
      <w:pPr>
        <w:pStyle w:val="10"/>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ascii="仿宋" w:hAnsi="仿宋" w:eastAsia="仿宋" w:cs="仿宋"/>
          <w:sz w:val="32"/>
          <w:szCs w:val="32"/>
        </w:rPr>
      </w:pPr>
      <w:r>
        <w:rPr>
          <w:rFonts w:hint="eastAsia" w:asciiTheme="minorEastAsia" w:hAnsiTheme="minorEastAsia"/>
          <w:sz w:val="28"/>
          <w:szCs w:val="28"/>
        </w:rPr>
        <w:t>（三）《博士后科研流动站设站单位学术部门考核意见表》（2份）中国博士后网站下载（同上）</w:t>
      </w:r>
    </w:p>
    <w:p>
      <w:pPr>
        <w:pStyle w:val="10"/>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asciiTheme="minorEastAsia" w:hAnsiTheme="minorEastAsia"/>
          <w:sz w:val="28"/>
          <w:szCs w:val="28"/>
        </w:rPr>
      </w:pPr>
      <w:r>
        <w:rPr>
          <w:rFonts w:hint="eastAsia" w:asciiTheme="minorEastAsia" w:hAnsiTheme="minorEastAsia"/>
          <w:sz w:val="28"/>
          <w:szCs w:val="28"/>
        </w:rPr>
        <w:t>（四）身份证、护照、港澳台人员（提供该地区身份证）复印件(2份)</w:t>
      </w:r>
    </w:p>
    <w:p>
      <w:pPr>
        <w:pStyle w:val="10"/>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asciiTheme="minorEastAsia" w:hAnsiTheme="minorEastAsia"/>
          <w:sz w:val="28"/>
          <w:szCs w:val="28"/>
        </w:rPr>
      </w:pPr>
      <w:r>
        <w:rPr>
          <w:rFonts w:hint="eastAsia" w:asciiTheme="minorEastAsia" w:hAnsiTheme="minorEastAsia"/>
          <w:sz w:val="28"/>
          <w:szCs w:val="28"/>
        </w:rPr>
        <w:t>（五）博士学历、学位证书复印件（外籍博士须提供中国驻外使领馆出具的学位认证；留学回国博士须提供教育部留学服务中心开具的《国（境）外学历学位认证书》）（2份）</w:t>
      </w:r>
    </w:p>
    <w:p>
      <w:pPr>
        <w:pStyle w:val="10"/>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asciiTheme="minorEastAsia" w:hAnsiTheme="minorEastAsia"/>
          <w:sz w:val="28"/>
          <w:szCs w:val="28"/>
        </w:rPr>
      </w:pPr>
      <w:r>
        <w:rPr>
          <w:rFonts w:hint="eastAsia" w:asciiTheme="minorEastAsia" w:hAnsiTheme="minorEastAsia"/>
          <w:sz w:val="28"/>
          <w:szCs w:val="28"/>
        </w:rPr>
        <w:t>（六）《解除人事（劳动）关系证明》、《辞职证明》、《就业报到证》（非在职人员提供）</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asciiTheme="minorEastAsia" w:hAnsiTheme="minorEastAsia"/>
          <w:sz w:val="28"/>
          <w:szCs w:val="28"/>
        </w:rPr>
      </w:pPr>
      <w:r>
        <w:rPr>
          <w:rFonts w:hint="eastAsia" w:asciiTheme="minorEastAsia" w:hAnsiTheme="minorEastAsia"/>
          <w:sz w:val="28"/>
          <w:szCs w:val="28"/>
        </w:rPr>
        <w:t>（七）本人电子版照片</w:t>
      </w:r>
    </w:p>
    <w:p>
      <w:pPr>
        <w:pStyle w:val="10"/>
        <w:ind w:left="420" w:leftChars="200" w:firstLine="140" w:firstLineChars="50"/>
        <w:rPr>
          <w:rFonts w:asciiTheme="minorEastAsia" w:hAnsiTheme="minorEastAsia"/>
          <w:sz w:val="28"/>
          <w:szCs w:val="28"/>
        </w:rPr>
      </w:pPr>
    </w:p>
    <w:p>
      <w:pPr>
        <w:pStyle w:val="10"/>
        <w:ind w:left="420" w:leftChars="200" w:firstLine="140" w:firstLineChars="50"/>
        <w:rPr>
          <w:rFonts w:asciiTheme="minorEastAsia" w:hAnsiTheme="minorEastAsia"/>
          <w:sz w:val="28"/>
          <w:szCs w:val="28"/>
        </w:rPr>
      </w:pPr>
      <w:bookmarkStart w:id="0" w:name="_GoBack"/>
      <w:bookmarkEnd w:id="0"/>
    </w:p>
    <w:p>
      <w:pPr>
        <w:pStyle w:val="10"/>
        <w:ind w:left="420" w:leftChars="200" w:firstLine="140" w:firstLineChars="50"/>
        <w:rPr>
          <w:rFonts w:asciiTheme="minorEastAsia" w:hAnsiTheme="minorEastAsia"/>
          <w:sz w:val="28"/>
          <w:szCs w:val="28"/>
        </w:rPr>
      </w:pPr>
    </w:p>
    <w:p>
      <w:pPr>
        <w:ind w:firstLine="420" w:firstLineChars="150"/>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527C"/>
    <w:rsid w:val="000256BC"/>
    <w:rsid w:val="00040312"/>
    <w:rsid w:val="0004241D"/>
    <w:rsid w:val="00081C81"/>
    <w:rsid w:val="000D70F0"/>
    <w:rsid w:val="000E0057"/>
    <w:rsid w:val="000F119E"/>
    <w:rsid w:val="0010443F"/>
    <w:rsid w:val="0014488D"/>
    <w:rsid w:val="001563FB"/>
    <w:rsid w:val="00166F6F"/>
    <w:rsid w:val="00181DA2"/>
    <w:rsid w:val="001A23E6"/>
    <w:rsid w:val="001C0A8C"/>
    <w:rsid w:val="001C331F"/>
    <w:rsid w:val="001E58A1"/>
    <w:rsid w:val="001F0394"/>
    <w:rsid w:val="001F77BC"/>
    <w:rsid w:val="00202711"/>
    <w:rsid w:val="00224571"/>
    <w:rsid w:val="00257540"/>
    <w:rsid w:val="002670C1"/>
    <w:rsid w:val="0029779E"/>
    <w:rsid w:val="002A038F"/>
    <w:rsid w:val="002B6F34"/>
    <w:rsid w:val="002E1954"/>
    <w:rsid w:val="002E522C"/>
    <w:rsid w:val="00312461"/>
    <w:rsid w:val="00336DAE"/>
    <w:rsid w:val="00352089"/>
    <w:rsid w:val="00354077"/>
    <w:rsid w:val="00354BD2"/>
    <w:rsid w:val="00365448"/>
    <w:rsid w:val="00366E67"/>
    <w:rsid w:val="0038223A"/>
    <w:rsid w:val="00383BBB"/>
    <w:rsid w:val="003851FB"/>
    <w:rsid w:val="003B4B28"/>
    <w:rsid w:val="003C1C71"/>
    <w:rsid w:val="003C527C"/>
    <w:rsid w:val="003D0727"/>
    <w:rsid w:val="003F15F5"/>
    <w:rsid w:val="003F64EE"/>
    <w:rsid w:val="00410566"/>
    <w:rsid w:val="00424C88"/>
    <w:rsid w:val="00425092"/>
    <w:rsid w:val="00437E63"/>
    <w:rsid w:val="0044389C"/>
    <w:rsid w:val="00444E20"/>
    <w:rsid w:val="00453043"/>
    <w:rsid w:val="00455DC5"/>
    <w:rsid w:val="00456B21"/>
    <w:rsid w:val="0046267F"/>
    <w:rsid w:val="00472EE8"/>
    <w:rsid w:val="00485BF7"/>
    <w:rsid w:val="00490DC0"/>
    <w:rsid w:val="004A5992"/>
    <w:rsid w:val="004C1D48"/>
    <w:rsid w:val="004E44A8"/>
    <w:rsid w:val="00516BFB"/>
    <w:rsid w:val="005229AC"/>
    <w:rsid w:val="00571DB0"/>
    <w:rsid w:val="00577449"/>
    <w:rsid w:val="00577D27"/>
    <w:rsid w:val="00583083"/>
    <w:rsid w:val="005B3F36"/>
    <w:rsid w:val="005D000A"/>
    <w:rsid w:val="005D13A7"/>
    <w:rsid w:val="005E37D9"/>
    <w:rsid w:val="005F39D5"/>
    <w:rsid w:val="00600957"/>
    <w:rsid w:val="00603CF0"/>
    <w:rsid w:val="006075A7"/>
    <w:rsid w:val="006447E4"/>
    <w:rsid w:val="006544F4"/>
    <w:rsid w:val="006549D0"/>
    <w:rsid w:val="006703A1"/>
    <w:rsid w:val="0067742C"/>
    <w:rsid w:val="00684ED0"/>
    <w:rsid w:val="006868B5"/>
    <w:rsid w:val="006872D0"/>
    <w:rsid w:val="006C7C35"/>
    <w:rsid w:val="006D3E06"/>
    <w:rsid w:val="006E7537"/>
    <w:rsid w:val="006F64E6"/>
    <w:rsid w:val="00710A3D"/>
    <w:rsid w:val="007212E2"/>
    <w:rsid w:val="00796ED8"/>
    <w:rsid w:val="007A58F1"/>
    <w:rsid w:val="007C45FC"/>
    <w:rsid w:val="007D594D"/>
    <w:rsid w:val="007E1697"/>
    <w:rsid w:val="007E48FB"/>
    <w:rsid w:val="00807757"/>
    <w:rsid w:val="0085482A"/>
    <w:rsid w:val="0086699E"/>
    <w:rsid w:val="008804CC"/>
    <w:rsid w:val="00890B73"/>
    <w:rsid w:val="008A0234"/>
    <w:rsid w:val="008B2962"/>
    <w:rsid w:val="008D1BF9"/>
    <w:rsid w:val="00913038"/>
    <w:rsid w:val="00953B5B"/>
    <w:rsid w:val="009610B4"/>
    <w:rsid w:val="009839BD"/>
    <w:rsid w:val="009B09C0"/>
    <w:rsid w:val="009B6C31"/>
    <w:rsid w:val="009C20D1"/>
    <w:rsid w:val="009C5A88"/>
    <w:rsid w:val="009F1083"/>
    <w:rsid w:val="00A042BE"/>
    <w:rsid w:val="00A0640B"/>
    <w:rsid w:val="00A32C05"/>
    <w:rsid w:val="00A42023"/>
    <w:rsid w:val="00A57DBC"/>
    <w:rsid w:val="00A62DF3"/>
    <w:rsid w:val="00A67490"/>
    <w:rsid w:val="00A87924"/>
    <w:rsid w:val="00A96404"/>
    <w:rsid w:val="00AA3F5A"/>
    <w:rsid w:val="00AB17CE"/>
    <w:rsid w:val="00AE465A"/>
    <w:rsid w:val="00AF4EC2"/>
    <w:rsid w:val="00AF5961"/>
    <w:rsid w:val="00AF6BA2"/>
    <w:rsid w:val="00B25900"/>
    <w:rsid w:val="00B308C9"/>
    <w:rsid w:val="00B56F20"/>
    <w:rsid w:val="00B73DBD"/>
    <w:rsid w:val="00BA2B11"/>
    <w:rsid w:val="00BB4BBF"/>
    <w:rsid w:val="00BC6C9E"/>
    <w:rsid w:val="00BD152E"/>
    <w:rsid w:val="00BD4285"/>
    <w:rsid w:val="00BD54D9"/>
    <w:rsid w:val="00BE740C"/>
    <w:rsid w:val="00C55302"/>
    <w:rsid w:val="00C60037"/>
    <w:rsid w:val="00CC6D56"/>
    <w:rsid w:val="00CF2999"/>
    <w:rsid w:val="00D1690A"/>
    <w:rsid w:val="00D42D81"/>
    <w:rsid w:val="00D4447C"/>
    <w:rsid w:val="00D622AC"/>
    <w:rsid w:val="00DA20E3"/>
    <w:rsid w:val="00DA3FCD"/>
    <w:rsid w:val="00DB3177"/>
    <w:rsid w:val="00DB6920"/>
    <w:rsid w:val="00DC00E2"/>
    <w:rsid w:val="00DC4D78"/>
    <w:rsid w:val="00DF0974"/>
    <w:rsid w:val="00E01D6C"/>
    <w:rsid w:val="00E06D92"/>
    <w:rsid w:val="00E26C1D"/>
    <w:rsid w:val="00E36FF9"/>
    <w:rsid w:val="00E51169"/>
    <w:rsid w:val="00E620DF"/>
    <w:rsid w:val="00E85858"/>
    <w:rsid w:val="00EF4283"/>
    <w:rsid w:val="00F10001"/>
    <w:rsid w:val="00F158A7"/>
    <w:rsid w:val="00F35636"/>
    <w:rsid w:val="00F416FE"/>
    <w:rsid w:val="00F764D6"/>
    <w:rsid w:val="00F81C0E"/>
    <w:rsid w:val="00F85163"/>
    <w:rsid w:val="00FD621E"/>
    <w:rsid w:val="00FD6327"/>
    <w:rsid w:val="00FD7DD6"/>
    <w:rsid w:val="00FF036E"/>
    <w:rsid w:val="00FF15FB"/>
    <w:rsid w:val="00FF7713"/>
    <w:rsid w:val="32B27232"/>
    <w:rsid w:val="3B7C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themeColor="followedHyperlink"/>
      <w:u w:val="single"/>
    </w:rPr>
  </w:style>
  <w:style w:type="character" w:styleId="7">
    <w:name w:val="Hyperlink"/>
    <w:basedOn w:val="5"/>
    <w:unhideWhenUsed/>
    <w:uiPriority w:val="99"/>
    <w:rPr>
      <w:color w:val="0000FF" w:themeColor="hyperlink"/>
      <w:u w:val="single"/>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Words>
  <Characters>1389</Characters>
  <Lines>11</Lines>
  <Paragraphs>3</Paragraphs>
  <TotalTime>561</TotalTime>
  <ScaleCrop>false</ScaleCrop>
  <LinksUpToDate>false</LinksUpToDate>
  <CharactersWithSpaces>1629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2019-12-06T00:52:00Z</dcterms:created>
  <dc:creator>路峰</dc:creator>
  <cp:lastModifiedBy>项晓玲</cp:lastModifiedBy>
  <cp:lastPrinted>2020-01-08T07:45:00Z</cp:lastPrinted>
  <dcterms:modified xsi:type="dcterms:W3CDTF">2022-01-29T02:34:04Z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75DA38FB510A494EB273ADEF071F361E</vt:lpwstr>
  </property>
</Properties>
</file>