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r>
        <w:rPr>
          <w:rFonts w:hint="eastAsia"/>
        </w:rPr>
        <w:t>一、浙江师范大学计算机科学与技术博士后科研流动站简介</w:t>
      </w:r>
    </w:p>
    <w:p>
      <w:pPr>
        <w:spacing w:line="480" w:lineRule="exact"/>
        <w:ind w:firstLine="560" w:firstLineChars="200"/>
        <w:rPr>
          <w:rFonts w:ascii="仿宋" w:hAnsi="仿宋" w:eastAsia="仿宋" w:cs="Times New Roman"/>
          <w:sz w:val="28"/>
          <w:szCs w:val="28"/>
        </w:rPr>
      </w:pPr>
      <w:r>
        <w:rPr>
          <w:rFonts w:ascii="仿宋" w:hAnsi="仿宋" w:eastAsia="仿宋" w:cs="Times New Roman"/>
          <w:sz w:val="28"/>
          <w:szCs w:val="28"/>
        </w:rPr>
        <w:t>浙江师范大学</w:t>
      </w:r>
      <w:r>
        <w:rPr>
          <w:rFonts w:hint="eastAsia" w:ascii="仿宋" w:hAnsi="仿宋" w:eastAsia="仿宋" w:cs="Times New Roman"/>
          <w:sz w:val="28"/>
          <w:szCs w:val="28"/>
        </w:rPr>
        <w:t>“</w:t>
      </w:r>
      <w:r>
        <w:rPr>
          <w:rFonts w:ascii="仿宋" w:hAnsi="仿宋" w:eastAsia="仿宋" w:cs="Times New Roman"/>
          <w:sz w:val="28"/>
          <w:szCs w:val="28"/>
        </w:rPr>
        <w:t>计算机科学与技术</w:t>
      </w:r>
      <w:r>
        <w:rPr>
          <w:rFonts w:hint="eastAsia" w:ascii="仿宋" w:hAnsi="仿宋" w:eastAsia="仿宋" w:cs="Times New Roman"/>
          <w:sz w:val="28"/>
          <w:szCs w:val="28"/>
        </w:rPr>
        <w:t>”</w:t>
      </w:r>
      <w:r>
        <w:rPr>
          <w:rFonts w:ascii="仿宋" w:hAnsi="仿宋" w:eastAsia="仿宋" w:cs="Times New Roman"/>
          <w:sz w:val="28"/>
          <w:szCs w:val="28"/>
        </w:rPr>
        <w:t>是我校优势</w:t>
      </w:r>
      <w:r>
        <w:rPr>
          <w:rFonts w:hint="eastAsia" w:ascii="仿宋" w:hAnsi="仿宋" w:eastAsia="仿宋" w:cs="Times New Roman"/>
          <w:sz w:val="28"/>
          <w:szCs w:val="28"/>
        </w:rPr>
        <w:t>工科</w:t>
      </w:r>
      <w:r>
        <w:rPr>
          <w:rFonts w:ascii="仿宋" w:hAnsi="仿宋" w:eastAsia="仿宋" w:cs="Times New Roman"/>
          <w:sz w:val="28"/>
          <w:szCs w:val="28"/>
        </w:rPr>
        <w:t>，自2000年起招收硕士研究生，2005年被评为浙江省A类重点学科，2008年、2013年连续2次获批为浙江省重中之重学科，2010年获一级学科硕士学位授予权，2015年获批为浙江省一流学科</w:t>
      </w:r>
      <w:r>
        <w:rPr>
          <w:rFonts w:hint="eastAsia" w:ascii="仿宋" w:hAnsi="仿宋" w:eastAsia="仿宋" w:cs="Times New Roman"/>
          <w:sz w:val="28"/>
          <w:szCs w:val="28"/>
        </w:rPr>
        <w:t>A类</w:t>
      </w:r>
      <w:r>
        <w:rPr>
          <w:rFonts w:ascii="仿宋" w:hAnsi="仿宋" w:eastAsia="仿宋" w:cs="Times New Roman"/>
          <w:sz w:val="28"/>
          <w:szCs w:val="28"/>
        </w:rPr>
        <w:t>，2016年</w:t>
      </w:r>
      <w:r>
        <w:rPr>
          <w:rFonts w:hint="eastAsia" w:ascii="仿宋" w:hAnsi="仿宋" w:eastAsia="仿宋" w:cs="Times New Roman"/>
          <w:sz w:val="28"/>
          <w:szCs w:val="28"/>
        </w:rPr>
        <w:t>“</w:t>
      </w:r>
      <w:r>
        <w:rPr>
          <w:rFonts w:ascii="仿宋" w:hAnsi="仿宋" w:eastAsia="仿宋" w:cs="Times New Roman"/>
          <w:sz w:val="28"/>
          <w:szCs w:val="28"/>
        </w:rPr>
        <w:t>图与网络优化</w:t>
      </w:r>
      <w:r>
        <w:rPr>
          <w:rFonts w:hint="eastAsia" w:ascii="仿宋" w:hAnsi="仿宋" w:eastAsia="仿宋" w:cs="Times New Roman"/>
          <w:sz w:val="28"/>
          <w:szCs w:val="28"/>
        </w:rPr>
        <w:t>”</w:t>
      </w:r>
      <w:r>
        <w:rPr>
          <w:rFonts w:ascii="仿宋" w:hAnsi="仿宋" w:eastAsia="仿宋" w:cs="Times New Roman"/>
          <w:sz w:val="28"/>
          <w:szCs w:val="28"/>
        </w:rPr>
        <w:t>获批为国家</w:t>
      </w:r>
      <w:r>
        <w:rPr>
          <w:rFonts w:hint="eastAsia" w:ascii="仿宋" w:hAnsi="仿宋" w:eastAsia="仿宋" w:cs="Times New Roman"/>
          <w:sz w:val="28"/>
          <w:szCs w:val="28"/>
        </w:rPr>
        <w:t>“</w:t>
      </w:r>
      <w:r>
        <w:rPr>
          <w:rFonts w:ascii="仿宋" w:hAnsi="仿宋" w:eastAsia="仿宋" w:cs="Times New Roman"/>
          <w:sz w:val="28"/>
          <w:szCs w:val="28"/>
        </w:rPr>
        <w:t>111创新引智</w:t>
      </w:r>
      <w:r>
        <w:rPr>
          <w:rFonts w:hint="eastAsia" w:ascii="仿宋" w:hAnsi="仿宋" w:eastAsia="仿宋" w:cs="Times New Roman"/>
          <w:sz w:val="28"/>
          <w:szCs w:val="28"/>
        </w:rPr>
        <w:t>”</w:t>
      </w:r>
      <w:r>
        <w:rPr>
          <w:rFonts w:ascii="仿宋" w:hAnsi="仿宋" w:eastAsia="仿宋" w:cs="Times New Roman"/>
          <w:sz w:val="28"/>
          <w:szCs w:val="28"/>
        </w:rPr>
        <w:t>基地，2018年获批一级学科博士学位授予权</w:t>
      </w:r>
      <w:r>
        <w:rPr>
          <w:rFonts w:hint="eastAsia" w:ascii="仿宋" w:hAnsi="仿宋" w:eastAsia="仿宋" w:cs="Times New Roman"/>
          <w:sz w:val="28"/>
          <w:szCs w:val="28"/>
        </w:rPr>
        <w:t>，</w:t>
      </w:r>
      <w:r>
        <w:rPr>
          <w:rFonts w:ascii="仿宋" w:hAnsi="仿宋" w:eastAsia="仿宋" w:cs="Times New Roman"/>
          <w:sz w:val="28"/>
          <w:szCs w:val="28"/>
        </w:rPr>
        <w:t>2019年经全国博士后管理委员会批准我校设立计算机科学与技术博</w:t>
      </w:r>
      <w:r>
        <w:rPr>
          <w:rFonts w:hint="eastAsia" w:ascii="仿宋" w:hAnsi="仿宋" w:eastAsia="仿宋" w:cs="Times New Roman"/>
          <w:sz w:val="28"/>
          <w:szCs w:val="28"/>
        </w:rPr>
        <w:t>士</w:t>
      </w:r>
      <w:r>
        <w:rPr>
          <w:rFonts w:ascii="仿宋" w:hAnsi="仿宋" w:eastAsia="仿宋" w:cs="Times New Roman"/>
          <w:sz w:val="28"/>
          <w:szCs w:val="28"/>
        </w:rPr>
        <w:t>后流动站。</w:t>
      </w:r>
    </w:p>
    <w:p>
      <w:pPr>
        <w:spacing w:line="480" w:lineRule="exact"/>
        <w:ind w:firstLine="560" w:firstLineChars="200"/>
        <w:rPr>
          <w:rFonts w:ascii="仿宋" w:hAnsi="仿宋" w:eastAsia="仿宋" w:cs="Times New Roman"/>
          <w:sz w:val="28"/>
          <w:szCs w:val="28"/>
        </w:rPr>
      </w:pPr>
      <w:r>
        <w:rPr>
          <w:rFonts w:ascii="仿宋" w:hAnsi="仿宋" w:eastAsia="仿宋" w:cs="Times New Roman"/>
          <w:sz w:val="28"/>
          <w:szCs w:val="28"/>
        </w:rPr>
        <w:t>经过多年的建设与优化，</w:t>
      </w:r>
      <w:r>
        <w:rPr>
          <w:rFonts w:hint="eastAsia" w:ascii="仿宋" w:hAnsi="仿宋" w:eastAsia="仿宋" w:cs="Times New Roman"/>
          <w:sz w:val="28"/>
          <w:szCs w:val="28"/>
        </w:rPr>
        <w:t>本</w:t>
      </w:r>
      <w:r>
        <w:rPr>
          <w:rFonts w:ascii="仿宋" w:hAnsi="仿宋" w:eastAsia="仿宋" w:cs="Times New Roman"/>
          <w:sz w:val="28"/>
          <w:szCs w:val="28"/>
        </w:rPr>
        <w:t>学科</w:t>
      </w:r>
      <w:r>
        <w:rPr>
          <w:rFonts w:hint="eastAsia" w:ascii="仿宋" w:hAnsi="仿宋" w:eastAsia="仿宋" w:cs="Times New Roman"/>
          <w:sz w:val="28"/>
          <w:szCs w:val="28"/>
        </w:rPr>
        <w:t>在</w:t>
      </w:r>
      <w:r>
        <w:rPr>
          <w:rFonts w:ascii="仿宋" w:hAnsi="仿宋" w:eastAsia="仿宋" w:cs="Times New Roman"/>
          <w:sz w:val="28"/>
          <w:szCs w:val="28"/>
        </w:rPr>
        <w:t>方向凝炼、师资队伍建设、科学研究与社会服务、教学与人才培养和科研条件建设等方面取得了重要进展。现拥有教授24人，博士生导师15人，双聘院士</w:t>
      </w:r>
      <w:r>
        <w:rPr>
          <w:rFonts w:hint="eastAsia" w:ascii="仿宋" w:hAnsi="仿宋" w:eastAsia="仿宋" w:cs="Times New Roman"/>
          <w:sz w:val="28"/>
          <w:szCs w:val="28"/>
        </w:rPr>
        <w:t>2人，中组部国家高端人才计划入选者1人</w:t>
      </w:r>
      <w:r>
        <w:rPr>
          <w:rFonts w:ascii="仿宋" w:hAnsi="仿宋" w:eastAsia="仿宋" w:cs="Times New Roman"/>
          <w:sz w:val="28"/>
          <w:szCs w:val="28"/>
        </w:rPr>
        <w:t>、国家百千万人才1人、国家优青1人、教育部新世纪人才2人、钱江学者1人、省“151”人才8人、省中青年学科带头人7人，省高校创新团队2个。教师中70%以上具有博士学位。近5年，承担国家级项目55项、省部级项目39项，横向项目85项，科研总经费达到4665万元。发表的论文中被SCI/EI收录近300篇，出版专著和教材5部。获国家科技进步二等奖1 项、浙江省科学技术奖一等奖、二等奖各1 项、教育部科技进步奖二等奖1项等。</w:t>
      </w:r>
      <w:r>
        <w:rPr>
          <w:rFonts w:hint="eastAsia" w:ascii="仿宋" w:hAnsi="仿宋" w:eastAsia="仿宋" w:cs="Times New Roman"/>
          <w:sz w:val="28"/>
          <w:szCs w:val="28"/>
        </w:rPr>
        <w:t>培养及</w:t>
      </w:r>
      <w:r>
        <w:rPr>
          <w:rFonts w:ascii="仿宋" w:hAnsi="仿宋" w:eastAsia="仿宋" w:cs="Times New Roman"/>
          <w:sz w:val="28"/>
          <w:szCs w:val="28"/>
        </w:rPr>
        <w:t>联合培养博士研究生25名。</w:t>
      </w:r>
    </w:p>
    <w:p>
      <w:pPr>
        <w:spacing w:line="480" w:lineRule="exact"/>
        <w:ind w:firstLine="560" w:firstLineChars="200"/>
        <w:rPr>
          <w:rFonts w:ascii="仿宋" w:hAnsi="仿宋" w:eastAsia="仿宋" w:cs="Times New Roman"/>
          <w:sz w:val="28"/>
          <w:szCs w:val="28"/>
        </w:rPr>
      </w:pPr>
      <w:r>
        <w:rPr>
          <w:rFonts w:ascii="仿宋" w:hAnsi="仿宋" w:eastAsia="仿宋" w:cs="Times New Roman"/>
          <w:sz w:val="28"/>
          <w:szCs w:val="28"/>
        </w:rPr>
        <w:t>本学科</w:t>
      </w:r>
      <w:r>
        <w:rPr>
          <w:rFonts w:hint="eastAsia" w:ascii="仿宋" w:hAnsi="仿宋" w:eastAsia="仿宋" w:cs="Times New Roman"/>
          <w:sz w:val="28"/>
          <w:szCs w:val="28"/>
        </w:rPr>
        <w:t>凝聚了以下优势研究方向</w:t>
      </w:r>
      <w:r>
        <w:rPr>
          <w:rFonts w:ascii="仿宋" w:hAnsi="仿宋" w:eastAsia="仿宋" w:cs="Times New Roman"/>
          <w:sz w:val="28"/>
          <w:szCs w:val="28"/>
        </w:rPr>
        <w:t>：</w:t>
      </w:r>
    </w:p>
    <w:p>
      <w:pPr>
        <w:spacing w:line="48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hint="eastAsia" w:ascii="仿宋" w:hAnsi="仿宋" w:eastAsia="仿宋" w:cs="Times New Roman"/>
          <w:b/>
          <w:bCs/>
          <w:sz w:val="28"/>
          <w:szCs w:val="28"/>
        </w:rPr>
        <w:t>理论计算</w:t>
      </w:r>
      <w:r>
        <w:rPr>
          <w:rFonts w:ascii="仿宋" w:hAnsi="仿宋" w:eastAsia="仿宋" w:cs="Times New Roman"/>
          <w:b/>
          <w:bCs/>
          <w:sz w:val="28"/>
          <w:szCs w:val="28"/>
        </w:rPr>
        <w:t>机科学</w:t>
      </w:r>
      <w:r>
        <w:rPr>
          <w:rFonts w:hint="eastAsia" w:ascii="仿宋" w:hAnsi="仿宋" w:eastAsia="仿宋" w:cs="Times New Roman"/>
          <w:sz w:val="28"/>
          <w:szCs w:val="28"/>
        </w:rPr>
        <w:t>：在图与网络的连通性、可靠性和结构优化等领域取得了国际有影响的重要成果，如证明了沃尔夫数学奖获得者</w:t>
      </w:r>
      <w:r>
        <w:rPr>
          <w:rFonts w:ascii="仿宋" w:hAnsi="仿宋" w:eastAsia="仿宋" w:cs="Times New Roman"/>
          <w:sz w:val="28"/>
          <w:szCs w:val="28"/>
        </w:rPr>
        <w:t>Erdós</w:t>
      </w:r>
      <w:r>
        <w:rPr>
          <w:rFonts w:hint="eastAsia" w:ascii="仿宋" w:hAnsi="仿宋" w:eastAsia="仿宋" w:cs="Times New Roman"/>
          <w:sz w:val="28"/>
          <w:szCs w:val="28"/>
        </w:rPr>
        <w:t>等提出的</w:t>
      </w:r>
      <w:r>
        <w:rPr>
          <w:rFonts w:ascii="仿宋" w:hAnsi="仿宋" w:eastAsia="仿宋" w:cs="Times New Roman"/>
          <w:sz w:val="28"/>
          <w:szCs w:val="28"/>
        </w:rPr>
        <w:t>Ramsey</w:t>
      </w:r>
      <w:r>
        <w:rPr>
          <w:rFonts w:hint="eastAsia" w:ascii="仿宋" w:hAnsi="仿宋" w:eastAsia="仿宋" w:cs="Times New Roman"/>
          <w:sz w:val="28"/>
          <w:szCs w:val="28"/>
        </w:rPr>
        <w:t>色数猜想；证明了有</w:t>
      </w:r>
      <w:r>
        <w:rPr>
          <w:rFonts w:ascii="仿宋" w:hAnsi="仿宋" w:eastAsia="仿宋" w:cs="Times New Roman"/>
          <w:sz w:val="28"/>
          <w:szCs w:val="28"/>
        </w:rPr>
        <w:t>40</w:t>
      </w:r>
      <w:r>
        <w:rPr>
          <w:rFonts w:hint="eastAsia" w:ascii="仿宋" w:hAnsi="仿宋" w:eastAsia="仿宋" w:cs="Times New Roman"/>
          <w:sz w:val="28"/>
          <w:szCs w:val="28"/>
        </w:rPr>
        <w:t>多年历史的</w:t>
      </w:r>
      <w:r>
        <w:rPr>
          <w:rFonts w:ascii="仿宋" w:hAnsi="仿宋" w:eastAsia="仿宋" w:cs="Times New Roman"/>
          <w:sz w:val="28"/>
          <w:szCs w:val="28"/>
        </w:rPr>
        <w:t>Kronk-Mitchem</w:t>
      </w:r>
      <w:r>
        <w:rPr>
          <w:rFonts w:hint="eastAsia" w:ascii="仿宋" w:hAnsi="仿宋" w:eastAsia="仿宋" w:cs="Times New Roman"/>
          <w:sz w:val="28"/>
          <w:szCs w:val="28"/>
        </w:rPr>
        <w:t>猜想，被国际顶尖期刊</w:t>
      </w:r>
      <w:r>
        <w:rPr>
          <w:rFonts w:ascii="仿宋" w:hAnsi="仿宋" w:eastAsia="仿宋" w:cs="Times New Roman"/>
          <w:sz w:val="28"/>
          <w:szCs w:val="28"/>
        </w:rPr>
        <w:t>J. Comb. Theory, Series B</w:t>
      </w:r>
      <w:r>
        <w:rPr>
          <w:rFonts w:hint="eastAsia" w:ascii="仿宋" w:hAnsi="仿宋" w:eastAsia="仿宋" w:cs="Times New Roman"/>
          <w:sz w:val="28"/>
          <w:szCs w:val="28"/>
        </w:rPr>
        <w:t>称之为“</w:t>
      </w:r>
      <w:r>
        <w:rPr>
          <w:rFonts w:ascii="仿宋" w:hAnsi="仿宋" w:eastAsia="仿宋" w:cs="Times New Roman"/>
          <w:sz w:val="28"/>
          <w:szCs w:val="28"/>
        </w:rPr>
        <w:t>The most cited articles published since 2011</w:t>
      </w:r>
      <w:r>
        <w:rPr>
          <w:rFonts w:hint="eastAsia" w:ascii="仿宋" w:hAnsi="仿宋" w:eastAsia="仿宋" w:cs="Times New Roman"/>
          <w:sz w:val="28"/>
          <w:szCs w:val="28"/>
        </w:rPr>
        <w:t>”；推广了里程碑式的</w:t>
      </w:r>
      <w:r>
        <w:rPr>
          <w:rFonts w:ascii="仿宋" w:hAnsi="仿宋" w:eastAsia="仿宋" w:cs="Times New Roman"/>
          <w:sz w:val="28"/>
          <w:szCs w:val="28"/>
        </w:rPr>
        <w:t>Erdós-Ko-Rado</w:t>
      </w:r>
      <w:r>
        <w:rPr>
          <w:rFonts w:hint="eastAsia" w:ascii="仿宋" w:hAnsi="仿宋" w:eastAsia="仿宋" w:cs="Times New Roman"/>
          <w:sz w:val="28"/>
          <w:szCs w:val="28"/>
        </w:rPr>
        <w:t>定理，被著名的</w:t>
      </w:r>
      <w:r>
        <w:rPr>
          <w:rFonts w:ascii="仿宋" w:hAnsi="仿宋" w:eastAsia="仿宋" w:cs="Times New Roman"/>
          <w:sz w:val="28"/>
          <w:szCs w:val="28"/>
        </w:rPr>
        <w:t>Math. Rev.</w:t>
      </w:r>
      <w:r>
        <w:rPr>
          <w:rFonts w:hint="eastAsia" w:ascii="仿宋" w:hAnsi="仿宋" w:eastAsia="仿宋" w:cs="Times New Roman"/>
          <w:sz w:val="28"/>
          <w:szCs w:val="28"/>
        </w:rPr>
        <w:t>称之为“这是</w:t>
      </w:r>
      <w:r>
        <w:rPr>
          <w:rFonts w:ascii="仿宋" w:hAnsi="仿宋" w:eastAsia="仿宋" w:cs="Times New Roman"/>
          <w:sz w:val="28"/>
          <w:szCs w:val="28"/>
        </w:rPr>
        <w:t>Erdós-Ko-Rado</w:t>
      </w:r>
      <w:r>
        <w:rPr>
          <w:rFonts w:hint="eastAsia" w:ascii="仿宋" w:hAnsi="仿宋" w:eastAsia="仿宋" w:cs="Times New Roman"/>
          <w:sz w:val="28"/>
          <w:szCs w:val="28"/>
        </w:rPr>
        <w:t>理论中具有深度影响力的工作”。研究成果获省科学技术奖二等奖</w:t>
      </w:r>
      <w:r>
        <w:rPr>
          <w:rFonts w:ascii="仿宋" w:hAnsi="仿宋" w:eastAsia="仿宋" w:cs="Times New Roman"/>
          <w:sz w:val="28"/>
          <w:szCs w:val="28"/>
        </w:rPr>
        <w:t>1</w:t>
      </w:r>
      <w:r>
        <w:rPr>
          <w:rFonts w:hint="eastAsia" w:ascii="仿宋" w:hAnsi="仿宋" w:eastAsia="仿宋" w:cs="Times New Roman"/>
          <w:sz w:val="28"/>
          <w:szCs w:val="28"/>
        </w:rPr>
        <w:t>项、省自然科学学术奖一等奖</w:t>
      </w:r>
      <w:r>
        <w:rPr>
          <w:rFonts w:ascii="仿宋" w:hAnsi="仿宋" w:eastAsia="仿宋" w:cs="Times New Roman"/>
          <w:sz w:val="28"/>
          <w:szCs w:val="28"/>
        </w:rPr>
        <w:t>1</w:t>
      </w:r>
      <w:r>
        <w:rPr>
          <w:rFonts w:hint="eastAsia" w:ascii="仿宋" w:hAnsi="仿宋" w:eastAsia="仿宋" w:cs="Times New Roman"/>
          <w:sz w:val="28"/>
          <w:szCs w:val="28"/>
        </w:rPr>
        <w:t>项等。</w:t>
      </w:r>
    </w:p>
    <w:p>
      <w:pPr>
        <w:spacing w:line="48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（2）网络优化与安全方面</w:t>
      </w:r>
      <w:r>
        <w:rPr>
          <w:rFonts w:hint="eastAsia" w:ascii="仿宋" w:hAnsi="仿宋" w:eastAsia="仿宋" w:cs="Times New Roman"/>
          <w:sz w:val="28"/>
          <w:szCs w:val="28"/>
        </w:rPr>
        <w:t>：在网络优化算法与安全策略等领域做出了国际前沿性的研究成果，如复杂种群网络策略演化稳定性工作，被澳大利亚科学院院士、</w:t>
      </w:r>
      <w:r>
        <w:rPr>
          <w:rFonts w:ascii="仿宋" w:hAnsi="仿宋" w:eastAsia="仿宋" w:cs="Times New Roman"/>
          <w:sz w:val="28"/>
          <w:szCs w:val="28"/>
        </w:rPr>
        <w:t>IEEE Fellow D. J. Hill</w:t>
      </w:r>
      <w:r>
        <w:rPr>
          <w:rFonts w:hint="eastAsia" w:ascii="仿宋" w:hAnsi="仿宋" w:eastAsia="仿宋" w:cs="Times New Roman"/>
          <w:sz w:val="28"/>
          <w:szCs w:val="28"/>
        </w:rPr>
        <w:t>称之为“网络结构与网络博弈领域中具有一定影响力的工作”；解决了</w:t>
      </w:r>
      <w:r>
        <w:rPr>
          <w:rFonts w:ascii="仿宋" w:hAnsi="仿宋" w:eastAsia="仿宋" w:cs="Times New Roman"/>
          <w:sz w:val="28"/>
          <w:szCs w:val="28"/>
        </w:rPr>
        <w:t>Naroditskiy</w:t>
      </w:r>
      <w:r>
        <w:rPr>
          <w:rFonts w:hint="eastAsia" w:ascii="仿宋" w:hAnsi="仿宋" w:eastAsia="仿宋" w:cs="Times New Roman"/>
          <w:sz w:val="28"/>
          <w:szCs w:val="28"/>
        </w:rPr>
        <w:t>提出的众包竞争困境难题及国际上长达八年没有进展的环状网络最优副本放置问题。研究成果曾获省科技进步一等奖</w:t>
      </w:r>
      <w:r>
        <w:rPr>
          <w:rFonts w:ascii="仿宋" w:hAnsi="仿宋" w:eastAsia="仿宋" w:cs="Times New Roman"/>
          <w:sz w:val="28"/>
          <w:szCs w:val="28"/>
        </w:rPr>
        <w:t>1</w:t>
      </w:r>
      <w:r>
        <w:rPr>
          <w:rFonts w:hint="eastAsia" w:ascii="仿宋" w:hAnsi="仿宋" w:eastAsia="仿宋" w:cs="Times New Roman"/>
          <w:sz w:val="28"/>
          <w:szCs w:val="28"/>
        </w:rPr>
        <w:t>项。</w:t>
      </w:r>
    </w:p>
    <w:p>
      <w:pPr>
        <w:spacing w:line="48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（3）工业互联网与</w:t>
      </w:r>
      <w:r>
        <w:rPr>
          <w:rFonts w:ascii="仿宋" w:hAnsi="仿宋" w:eastAsia="仿宋" w:cs="Times New Roman"/>
          <w:b/>
          <w:bCs/>
          <w:sz w:val="28"/>
          <w:szCs w:val="28"/>
        </w:rPr>
        <w:t>智能制造</w:t>
      </w:r>
      <w:r>
        <w:rPr>
          <w:rFonts w:hint="eastAsia" w:ascii="仿宋" w:hAnsi="仿宋" w:eastAsia="仿宋" w:cs="Times New Roman"/>
          <w:sz w:val="28"/>
          <w:szCs w:val="28"/>
        </w:rPr>
        <w:t>：</w:t>
      </w:r>
      <w:r>
        <w:rPr>
          <w:rFonts w:ascii="仿宋" w:hAnsi="仿宋" w:eastAsia="仿宋" w:cs="Times New Roman"/>
          <w:sz w:val="28"/>
          <w:szCs w:val="28"/>
        </w:rPr>
        <w:t>重点攻关</w:t>
      </w:r>
      <w:r>
        <w:rPr>
          <w:rFonts w:hint="eastAsia" w:ascii="仿宋" w:hAnsi="仿宋" w:eastAsia="仿宋" w:cs="Times New Roman"/>
          <w:sz w:val="28"/>
          <w:szCs w:val="28"/>
        </w:rPr>
        <w:t>制造设备核心技术及产品研发，如自主研发的基于工业互联网的全自动电脑针织横机装备突破了国外专利技术保护和垄断，创造了巨大的经济与社会效益；自主研发的智能静电除尘高频高压电源已有</w:t>
      </w:r>
      <w:r>
        <w:rPr>
          <w:rFonts w:ascii="仿宋" w:hAnsi="仿宋" w:eastAsia="仿宋" w:cs="Times New Roman"/>
          <w:sz w:val="28"/>
          <w:szCs w:val="28"/>
        </w:rPr>
        <w:t>1</w:t>
      </w:r>
      <w:r>
        <w:rPr>
          <w:rFonts w:hint="eastAsia" w:ascii="仿宋" w:hAnsi="仿宋" w:eastAsia="仿宋" w:cs="Times New Roman"/>
          <w:sz w:val="28"/>
          <w:szCs w:val="28"/>
        </w:rPr>
        <w:t>个多亿的产值。相关成果获国家科学技术奖二等奖、省科学技术奖一等奖、教育部科技进步奖（推广类）二等奖各</w:t>
      </w:r>
      <w:r>
        <w:rPr>
          <w:rFonts w:ascii="仿宋" w:hAnsi="仿宋" w:eastAsia="仿宋" w:cs="Times New Roman"/>
          <w:sz w:val="28"/>
          <w:szCs w:val="28"/>
        </w:rPr>
        <w:t>1</w:t>
      </w:r>
      <w:r>
        <w:rPr>
          <w:rFonts w:hint="eastAsia" w:ascii="仿宋" w:hAnsi="仿宋" w:eastAsia="仿宋" w:cs="Times New Roman"/>
          <w:sz w:val="28"/>
          <w:szCs w:val="28"/>
        </w:rPr>
        <w:t>项。</w:t>
      </w:r>
    </w:p>
    <w:p>
      <w:pPr>
        <w:spacing w:line="48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（4）数据科学与</w:t>
      </w:r>
      <w:r>
        <w:rPr>
          <w:rFonts w:ascii="仿宋" w:hAnsi="仿宋" w:eastAsia="仿宋" w:cs="Times New Roman"/>
          <w:b/>
          <w:bCs/>
          <w:sz w:val="28"/>
          <w:szCs w:val="28"/>
        </w:rPr>
        <w:t>工程</w:t>
      </w:r>
      <w:r>
        <w:rPr>
          <w:rFonts w:hint="eastAsia" w:ascii="仿宋" w:hAnsi="仿宋" w:eastAsia="仿宋" w:cs="Times New Roman"/>
          <w:sz w:val="28"/>
          <w:szCs w:val="28"/>
        </w:rPr>
        <w:t>：在深度学习的建模与解释、跨模态大数据的分析与挖掘等理论方面取得了一系列重要成果；在图像处理与应用领域提出了热带气旋客观定位定强的方法，有效地克服了世界各国通用的Dvorak技术存在的问题，该成果已被国家台海中心和上海台风研究所用于辅助台风灾害监测预报，获授权发明专利3项；在基于身份认证的智能监控、门禁与移动支付等领域的产品曾获得教育部科技进步二等奖、省科技进步二等奖。</w:t>
      </w:r>
    </w:p>
    <w:p>
      <w:pPr>
        <w:spacing w:line="480" w:lineRule="exact"/>
        <w:ind w:firstLine="560" w:firstLineChars="200"/>
        <w:rPr>
          <w:rFonts w:ascii="仿宋" w:hAnsi="仿宋" w:eastAsia="仿宋" w:cs="Times New Roman"/>
          <w:sz w:val="28"/>
          <w:szCs w:val="28"/>
        </w:rPr>
      </w:pPr>
      <w:r>
        <w:rPr>
          <w:rFonts w:ascii="仿宋" w:hAnsi="仿宋" w:eastAsia="仿宋" w:cs="Times New Roman"/>
          <w:sz w:val="28"/>
          <w:szCs w:val="28"/>
        </w:rPr>
        <w:t>计算机科学与技术博士后流动站依托计算机科学与技术一级学科博士点，坚持需求导向、特色发展、创新引领、服务地方建设思路，构筑高水平的学科发展平台，组建一流学术创新团队，培养一流</w:t>
      </w:r>
      <w:r>
        <w:rPr>
          <w:rFonts w:hint="eastAsia" w:ascii="仿宋" w:hAnsi="仿宋" w:eastAsia="仿宋" w:cs="Times New Roman"/>
          <w:sz w:val="28"/>
          <w:szCs w:val="28"/>
        </w:rPr>
        <w:t>计算机</w:t>
      </w:r>
      <w:r>
        <w:rPr>
          <w:rFonts w:ascii="仿宋" w:hAnsi="仿宋" w:eastAsia="仿宋" w:cs="Times New Roman"/>
          <w:sz w:val="28"/>
          <w:szCs w:val="28"/>
        </w:rPr>
        <w:t>人才，产出一流科研成果，聚焦网络安全与优化、工业互联网与智能制造、数据科学与工程、理论计算机科学等重点研究领域，将基础研究与应用紧密结合，服务地方社会经济发展。</w:t>
      </w:r>
      <w:r>
        <w:rPr>
          <w:rFonts w:hint="eastAsia" w:ascii="仿宋" w:hAnsi="仿宋" w:eastAsia="仿宋" w:cs="Times New Roman"/>
          <w:sz w:val="28"/>
          <w:szCs w:val="28"/>
        </w:rPr>
        <w:t>本学科为博士后流动站日常经费单独立账，专款专用，为博士后研究人员提供充足的科研经费、良好的学术环境、设施完备的住房条件等，积极创建具有竞争力的条件吸引优质博士后进站，已从1</w:t>
      </w:r>
      <w:r>
        <w:rPr>
          <w:rFonts w:ascii="仿宋" w:hAnsi="仿宋" w:eastAsia="仿宋" w:cs="Times New Roman"/>
          <w:sz w:val="28"/>
          <w:szCs w:val="28"/>
        </w:rPr>
        <w:t>5</w:t>
      </w:r>
      <w:r>
        <w:rPr>
          <w:rFonts w:hint="eastAsia" w:ascii="仿宋" w:hAnsi="仿宋" w:eastAsia="仿宋" w:cs="Times New Roman"/>
          <w:sz w:val="28"/>
          <w:szCs w:val="28"/>
        </w:rPr>
        <w:t>名博士生导师中严格遴选出了部分优秀人员指导博士后人员。学科将从政策上、组织上采取配套措施，对所需人力、物力和工作条件给予优先支持。</w:t>
      </w:r>
    </w:p>
    <w:p>
      <w:pPr>
        <w:pStyle w:val="3"/>
        <w:jc w:val="left"/>
      </w:pPr>
      <w:r>
        <w:rPr>
          <w:rFonts w:hint="eastAsia"/>
        </w:rPr>
        <w:t>二、计算机科学与技术博士后招聘计划一览表</w:t>
      </w:r>
    </w:p>
    <w:tbl>
      <w:tblPr>
        <w:tblStyle w:val="6"/>
        <w:tblW w:w="1060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515"/>
        <w:gridCol w:w="4297"/>
        <w:gridCol w:w="732"/>
        <w:gridCol w:w="28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246" w:type="dxa"/>
            <w:vAlign w:val="center"/>
          </w:tcPr>
          <w:p>
            <w:pPr>
              <w:adjustRightInd w:val="0"/>
              <w:snapToGrid w:val="0"/>
              <w:rPr>
                <w:rFonts w:ascii="仿宋" w:hAnsi="仿宋" w:eastAsia="仿宋"/>
                <w:b/>
                <w:bCs/>
                <w:sz w:val="24"/>
                <w:szCs w:val="24"/>
              </w:rPr>
            </w:pPr>
            <w:r>
              <w:rPr>
                <w:rFonts w:hint="eastAsia" w:ascii="仿宋" w:hAnsi="仿宋" w:eastAsia="仿宋"/>
                <w:b/>
                <w:bCs/>
                <w:sz w:val="24"/>
                <w:szCs w:val="24"/>
              </w:rPr>
              <w:t>合作导师</w:t>
            </w:r>
          </w:p>
        </w:tc>
        <w:tc>
          <w:tcPr>
            <w:tcW w:w="1515" w:type="dxa"/>
            <w:vAlign w:val="center"/>
          </w:tcPr>
          <w:p>
            <w:pPr>
              <w:adjustRightInd w:val="0"/>
              <w:snapToGrid w:val="0"/>
              <w:jc w:val="center"/>
              <w:rPr>
                <w:rFonts w:ascii="仿宋" w:hAnsi="仿宋" w:eastAsia="仿宋"/>
                <w:b/>
                <w:bCs/>
                <w:sz w:val="24"/>
                <w:szCs w:val="24"/>
              </w:rPr>
            </w:pPr>
            <w:r>
              <w:rPr>
                <w:rFonts w:hint="eastAsia" w:ascii="仿宋" w:hAnsi="仿宋" w:eastAsia="仿宋"/>
                <w:b/>
                <w:bCs/>
                <w:sz w:val="24"/>
                <w:szCs w:val="24"/>
              </w:rPr>
              <w:t>招收方向</w:t>
            </w:r>
          </w:p>
        </w:tc>
        <w:tc>
          <w:tcPr>
            <w:tcW w:w="4297" w:type="dxa"/>
            <w:vAlign w:val="center"/>
          </w:tcPr>
          <w:p>
            <w:pPr>
              <w:adjustRightInd w:val="0"/>
              <w:snapToGrid w:val="0"/>
              <w:jc w:val="center"/>
              <w:rPr>
                <w:rFonts w:ascii="仿宋" w:hAnsi="仿宋" w:eastAsia="仿宋"/>
                <w:b/>
                <w:bCs/>
                <w:sz w:val="24"/>
                <w:szCs w:val="24"/>
              </w:rPr>
            </w:pPr>
            <w:r>
              <w:rPr>
                <w:rFonts w:hint="eastAsia" w:ascii="仿宋" w:hAnsi="仿宋" w:eastAsia="仿宋"/>
                <w:b/>
                <w:bCs/>
                <w:sz w:val="24"/>
                <w:szCs w:val="24"/>
              </w:rPr>
              <w:t>研究课题、项目名称</w:t>
            </w:r>
          </w:p>
        </w:tc>
        <w:tc>
          <w:tcPr>
            <w:tcW w:w="732" w:type="dxa"/>
            <w:vAlign w:val="center"/>
          </w:tcPr>
          <w:p>
            <w:pPr>
              <w:adjustRightInd w:val="0"/>
              <w:snapToGrid w:val="0"/>
              <w:jc w:val="center"/>
              <w:rPr>
                <w:rFonts w:ascii="仿宋" w:hAnsi="仿宋" w:eastAsia="仿宋"/>
                <w:b/>
                <w:bCs/>
                <w:sz w:val="24"/>
                <w:szCs w:val="24"/>
              </w:rPr>
            </w:pPr>
            <w:r>
              <w:rPr>
                <w:rFonts w:hint="eastAsia" w:ascii="仿宋" w:hAnsi="仿宋" w:eastAsia="仿宋"/>
                <w:b/>
                <w:bCs/>
                <w:sz w:val="24"/>
                <w:szCs w:val="24"/>
              </w:rPr>
              <w:t>招收人数</w:t>
            </w:r>
          </w:p>
        </w:tc>
        <w:tc>
          <w:tcPr>
            <w:tcW w:w="2816" w:type="dxa"/>
            <w:vAlign w:val="center"/>
          </w:tcPr>
          <w:p>
            <w:pPr>
              <w:adjustRightInd w:val="0"/>
              <w:snapToGrid w:val="0"/>
              <w:jc w:val="center"/>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24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 xml:space="preserve">张 </w:t>
            </w:r>
            <w:r>
              <w:rPr>
                <w:rFonts w:ascii="仿宋" w:hAnsi="仿宋" w:eastAsia="仿宋" w:cs="仿宋"/>
                <w:bCs/>
                <w:sz w:val="24"/>
                <w:szCs w:val="24"/>
              </w:rPr>
              <w:t xml:space="preserve"> </w:t>
            </w:r>
            <w:r>
              <w:rPr>
                <w:rFonts w:hint="eastAsia" w:ascii="仿宋" w:hAnsi="仿宋" w:eastAsia="仿宋" w:cs="仿宋"/>
                <w:bCs/>
                <w:sz w:val="24"/>
                <w:szCs w:val="24"/>
              </w:rPr>
              <w:t>昭</w:t>
            </w:r>
          </w:p>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鲁剑锋</w:t>
            </w:r>
          </w:p>
        </w:tc>
        <w:tc>
          <w:tcPr>
            <w:tcW w:w="1515" w:type="dxa"/>
            <w:vAlign w:val="center"/>
          </w:tcPr>
          <w:p>
            <w:pPr>
              <w:adjustRightInd w:val="0"/>
              <w:snapToGrid w:val="0"/>
              <w:ind w:left="-76" w:leftChars="-36"/>
              <w:jc w:val="center"/>
              <w:rPr>
                <w:rFonts w:ascii="仿宋" w:hAnsi="仿宋" w:eastAsia="仿宋" w:cs="仿宋"/>
                <w:bCs/>
                <w:sz w:val="24"/>
                <w:szCs w:val="24"/>
              </w:rPr>
            </w:pPr>
            <w:r>
              <w:rPr>
                <w:rFonts w:hint="eastAsia" w:ascii="仿宋" w:hAnsi="仿宋" w:eastAsia="仿宋" w:cs="仿宋"/>
                <w:bCs/>
                <w:sz w:val="24"/>
                <w:szCs w:val="24"/>
              </w:rPr>
              <w:t>网络安全与优化</w:t>
            </w:r>
          </w:p>
        </w:tc>
        <w:tc>
          <w:tcPr>
            <w:tcW w:w="4297" w:type="dxa"/>
            <w:vAlign w:val="center"/>
          </w:tcPr>
          <w:p>
            <w:pPr>
              <w:pStyle w:val="11"/>
              <w:numPr>
                <w:ilvl w:val="0"/>
                <w:numId w:val="1"/>
              </w:numPr>
              <w:adjustRightInd w:val="0"/>
              <w:snapToGrid w:val="0"/>
              <w:ind w:firstLineChars="0"/>
              <w:jc w:val="left"/>
              <w:rPr>
                <w:rFonts w:ascii="仿宋" w:hAnsi="仿宋" w:eastAsia="仿宋" w:cs="仿宋"/>
                <w:bCs/>
                <w:sz w:val="24"/>
                <w:szCs w:val="24"/>
              </w:rPr>
            </w:pPr>
            <w:r>
              <w:rPr>
                <w:rFonts w:hint="eastAsia" w:ascii="仿宋" w:hAnsi="仿宋" w:eastAsia="仿宋" w:cs="仿宋"/>
                <w:bCs/>
                <w:sz w:val="24"/>
                <w:szCs w:val="24"/>
              </w:rPr>
              <w:t>理论计算机科学</w:t>
            </w:r>
          </w:p>
          <w:p>
            <w:pPr>
              <w:pStyle w:val="11"/>
              <w:numPr>
                <w:ilvl w:val="0"/>
                <w:numId w:val="1"/>
              </w:numPr>
              <w:adjustRightInd w:val="0"/>
              <w:snapToGrid w:val="0"/>
              <w:ind w:firstLineChars="0"/>
              <w:jc w:val="left"/>
              <w:rPr>
                <w:rFonts w:ascii="仿宋" w:hAnsi="仿宋" w:eastAsia="仿宋" w:cs="仿宋"/>
                <w:bCs/>
                <w:sz w:val="24"/>
                <w:szCs w:val="24"/>
              </w:rPr>
            </w:pPr>
            <w:r>
              <w:rPr>
                <w:rFonts w:hint="eastAsia" w:ascii="仿宋" w:hAnsi="仿宋" w:eastAsia="仿宋" w:cs="仿宋"/>
                <w:kern w:val="0"/>
                <w:sz w:val="24"/>
                <w:szCs w:val="24"/>
              </w:rPr>
              <w:t>移动群智感知中混合激励的博弈融合与优化研究</w:t>
            </w:r>
          </w:p>
        </w:tc>
        <w:tc>
          <w:tcPr>
            <w:tcW w:w="732"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281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color w:val="auto"/>
                <w:sz w:val="24"/>
                <w:szCs w:val="24"/>
                <w:u w:val="none"/>
              </w:rPr>
              <w:t>Zhaozhang@zjnu.cn</w:t>
            </w:r>
          </w:p>
          <w:p>
            <w:pPr>
              <w:adjustRightInd w:val="0"/>
              <w:snapToGrid w:val="0"/>
              <w:jc w:val="center"/>
              <w:rPr>
                <w:rFonts w:hint="eastAsia" w:ascii="仿宋" w:hAnsi="仿宋" w:eastAsia="仿宋" w:cs="仿宋"/>
                <w:bCs/>
                <w:sz w:val="24"/>
                <w:szCs w:val="24"/>
              </w:rPr>
            </w:pPr>
            <w:r>
              <w:rPr>
                <w:rFonts w:hint="eastAsia" w:ascii="仿宋" w:hAnsi="仿宋" w:eastAsia="仿宋" w:cs="仿宋"/>
                <w:bCs/>
                <w:color w:val="auto"/>
                <w:sz w:val="24"/>
                <w:szCs w:val="24"/>
                <w:u w:val="none"/>
              </w:rPr>
              <w:t>Lujianfeng@zjnu.cn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24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李明禄</w:t>
            </w:r>
          </w:p>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郑忠龙</w:t>
            </w:r>
          </w:p>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刘华文</w:t>
            </w:r>
          </w:p>
        </w:tc>
        <w:tc>
          <w:tcPr>
            <w:tcW w:w="1515" w:type="dxa"/>
            <w:vAlign w:val="center"/>
          </w:tcPr>
          <w:p>
            <w:pPr>
              <w:adjustRightInd w:val="0"/>
              <w:snapToGrid w:val="0"/>
              <w:ind w:left="-76" w:leftChars="-36"/>
              <w:jc w:val="center"/>
              <w:rPr>
                <w:rFonts w:ascii="仿宋" w:hAnsi="仿宋" w:eastAsia="仿宋" w:cs="仿宋"/>
                <w:bCs/>
                <w:sz w:val="24"/>
                <w:szCs w:val="24"/>
              </w:rPr>
            </w:pPr>
            <w:r>
              <w:rPr>
                <w:rFonts w:hint="eastAsia" w:ascii="仿宋" w:hAnsi="仿宋" w:eastAsia="仿宋" w:cs="仿宋"/>
                <w:bCs/>
                <w:sz w:val="24"/>
                <w:szCs w:val="24"/>
              </w:rPr>
              <w:t>智能物联网</w:t>
            </w:r>
          </w:p>
          <w:p>
            <w:pPr>
              <w:adjustRightInd w:val="0"/>
              <w:snapToGrid w:val="0"/>
              <w:ind w:left="-76" w:leftChars="-36"/>
              <w:jc w:val="center"/>
              <w:rPr>
                <w:rFonts w:ascii="仿宋" w:hAnsi="仿宋" w:eastAsia="仿宋" w:cs="仿宋"/>
                <w:bCs/>
                <w:sz w:val="24"/>
                <w:szCs w:val="24"/>
              </w:rPr>
            </w:pPr>
            <w:r>
              <w:rPr>
                <w:rFonts w:hint="eastAsia" w:ascii="仿宋" w:hAnsi="仿宋" w:eastAsia="仿宋" w:cs="仿宋"/>
                <w:bCs/>
                <w:sz w:val="24"/>
                <w:szCs w:val="24"/>
              </w:rPr>
              <w:t>机器学习</w:t>
            </w:r>
          </w:p>
          <w:p>
            <w:pPr>
              <w:adjustRightInd w:val="0"/>
              <w:snapToGrid w:val="0"/>
              <w:ind w:left="-76" w:leftChars="-36"/>
              <w:jc w:val="center"/>
              <w:rPr>
                <w:rFonts w:hint="eastAsia" w:ascii="仿宋" w:hAnsi="仿宋" w:eastAsia="仿宋" w:cs="仿宋"/>
                <w:bCs/>
                <w:sz w:val="24"/>
                <w:szCs w:val="24"/>
              </w:rPr>
            </w:pPr>
            <w:r>
              <w:rPr>
                <w:rFonts w:hint="eastAsia" w:ascii="仿宋" w:hAnsi="仿宋" w:eastAsia="仿宋" w:cs="仿宋"/>
                <w:bCs/>
                <w:sz w:val="24"/>
                <w:szCs w:val="24"/>
              </w:rPr>
              <w:t>大数据分析</w:t>
            </w:r>
          </w:p>
        </w:tc>
        <w:tc>
          <w:tcPr>
            <w:tcW w:w="4297" w:type="dxa"/>
            <w:vAlign w:val="center"/>
          </w:tcPr>
          <w:p>
            <w:pPr>
              <w:pStyle w:val="11"/>
              <w:numPr>
                <w:ilvl w:val="0"/>
                <w:numId w:val="2"/>
              </w:numPr>
              <w:adjustRightInd w:val="0"/>
              <w:snapToGrid w:val="0"/>
              <w:ind w:firstLineChars="0"/>
              <w:jc w:val="left"/>
              <w:rPr>
                <w:rFonts w:ascii="仿宋" w:hAnsi="仿宋" w:eastAsia="仿宋" w:cs="仿宋"/>
                <w:bCs/>
                <w:sz w:val="24"/>
                <w:szCs w:val="24"/>
              </w:rPr>
            </w:pPr>
            <w:r>
              <w:rPr>
                <w:rFonts w:hint="eastAsia" w:ascii="仿宋" w:hAnsi="仿宋" w:eastAsia="仿宋" w:cs="仿宋"/>
                <w:bCs/>
                <w:sz w:val="24"/>
                <w:szCs w:val="24"/>
              </w:rPr>
              <w:t>智能感知及大数据分析</w:t>
            </w:r>
          </w:p>
          <w:p>
            <w:pPr>
              <w:pStyle w:val="11"/>
              <w:numPr>
                <w:ilvl w:val="0"/>
                <w:numId w:val="2"/>
              </w:numPr>
              <w:adjustRightInd w:val="0"/>
              <w:snapToGrid w:val="0"/>
              <w:ind w:firstLineChars="0"/>
              <w:jc w:val="left"/>
              <w:rPr>
                <w:rFonts w:ascii="仿宋" w:hAnsi="仿宋" w:eastAsia="仿宋" w:cs="仿宋"/>
                <w:bCs/>
                <w:sz w:val="24"/>
                <w:szCs w:val="24"/>
              </w:rPr>
            </w:pPr>
            <w:r>
              <w:rPr>
                <w:rFonts w:hint="eastAsia" w:ascii="仿宋" w:hAnsi="仿宋" w:eastAsia="仿宋" w:cs="仿宋"/>
                <w:bCs/>
                <w:sz w:val="24"/>
                <w:szCs w:val="24"/>
              </w:rPr>
              <w:t>安全可信的机器学习理论及应用</w:t>
            </w:r>
          </w:p>
          <w:p>
            <w:pPr>
              <w:pStyle w:val="11"/>
              <w:numPr>
                <w:ilvl w:val="0"/>
                <w:numId w:val="2"/>
              </w:numPr>
              <w:adjustRightInd w:val="0"/>
              <w:snapToGrid w:val="0"/>
              <w:ind w:firstLineChars="0"/>
              <w:jc w:val="left"/>
              <w:rPr>
                <w:rFonts w:ascii="仿宋" w:hAnsi="仿宋" w:eastAsia="仿宋" w:cs="仿宋"/>
                <w:bCs/>
                <w:sz w:val="24"/>
                <w:szCs w:val="24"/>
              </w:rPr>
            </w:pPr>
            <w:r>
              <w:rPr>
                <w:rFonts w:hint="eastAsia" w:ascii="仿宋" w:hAnsi="仿宋" w:eastAsia="仿宋" w:cs="仿宋"/>
                <w:bCs/>
                <w:sz w:val="24"/>
                <w:szCs w:val="24"/>
              </w:rPr>
              <w:t>面向高维大数据的异常检测关键技术研究</w:t>
            </w:r>
          </w:p>
        </w:tc>
        <w:tc>
          <w:tcPr>
            <w:tcW w:w="732"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4</w:t>
            </w:r>
          </w:p>
        </w:tc>
        <w:tc>
          <w:tcPr>
            <w:tcW w:w="281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color w:val="auto"/>
                <w:sz w:val="24"/>
                <w:szCs w:val="24"/>
                <w:u w:val="none"/>
              </w:rPr>
              <w:t>mlli@zjnu.edu.cn</w:t>
            </w:r>
          </w:p>
          <w:p>
            <w:pPr>
              <w:adjustRightInd w:val="0"/>
              <w:snapToGrid w:val="0"/>
              <w:jc w:val="center"/>
              <w:rPr>
                <w:rFonts w:hint="eastAsia" w:ascii="仿宋" w:hAnsi="仿宋" w:eastAsia="仿宋" w:cs="仿宋"/>
                <w:bCs/>
                <w:sz w:val="24"/>
                <w:szCs w:val="24"/>
              </w:rPr>
            </w:pPr>
            <w:r>
              <w:rPr>
                <w:rFonts w:hint="eastAsia" w:ascii="仿宋" w:hAnsi="仿宋" w:eastAsia="仿宋" w:cs="仿宋"/>
                <w:bCs/>
                <w:color w:val="auto"/>
                <w:sz w:val="24"/>
                <w:szCs w:val="24"/>
                <w:u w:val="none"/>
              </w:rPr>
              <w:t>Zhonglong@zjnu.cn</w:t>
            </w:r>
          </w:p>
          <w:p>
            <w:pPr>
              <w:adjustRightInd w:val="0"/>
              <w:snapToGrid w:val="0"/>
              <w:jc w:val="center"/>
              <w:rPr>
                <w:rFonts w:hint="eastAsia" w:ascii="仿宋" w:hAnsi="仿宋" w:eastAsia="仿宋" w:cs="仿宋"/>
                <w:bCs/>
                <w:sz w:val="24"/>
                <w:szCs w:val="24"/>
              </w:rPr>
            </w:pPr>
            <w:r>
              <w:rPr>
                <w:rFonts w:hint="eastAsia" w:ascii="仿宋" w:hAnsi="仿宋" w:eastAsia="仿宋" w:cs="仿宋"/>
                <w:bCs/>
                <w:color w:val="auto"/>
                <w:sz w:val="24"/>
                <w:szCs w:val="24"/>
                <w:u w:val="none"/>
              </w:rPr>
              <w:t>Hwliu@zjnu.cn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24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殷建平</w:t>
            </w:r>
          </w:p>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朱信忠</w:t>
            </w:r>
          </w:p>
        </w:tc>
        <w:tc>
          <w:tcPr>
            <w:tcW w:w="1515" w:type="dxa"/>
            <w:vAlign w:val="center"/>
          </w:tcPr>
          <w:p>
            <w:pPr>
              <w:adjustRightInd w:val="0"/>
              <w:snapToGrid w:val="0"/>
              <w:ind w:left="-76" w:leftChars="-36"/>
              <w:jc w:val="center"/>
              <w:rPr>
                <w:rFonts w:ascii="仿宋" w:hAnsi="仿宋" w:eastAsia="仿宋" w:cs="仿宋"/>
                <w:bCs/>
                <w:sz w:val="24"/>
                <w:szCs w:val="24"/>
              </w:rPr>
            </w:pPr>
            <w:r>
              <w:rPr>
                <w:rFonts w:hint="eastAsia" w:ascii="仿宋" w:hAnsi="仿宋" w:eastAsia="仿宋" w:cs="仿宋"/>
                <w:bCs/>
                <w:sz w:val="24"/>
                <w:szCs w:val="24"/>
              </w:rPr>
              <w:t>人工智能</w:t>
            </w:r>
          </w:p>
          <w:p>
            <w:pPr>
              <w:adjustRightInd w:val="0"/>
              <w:snapToGrid w:val="0"/>
              <w:ind w:left="-76" w:leftChars="-36"/>
              <w:jc w:val="center"/>
              <w:rPr>
                <w:rFonts w:ascii="仿宋" w:hAnsi="仿宋" w:eastAsia="仿宋" w:cs="仿宋"/>
                <w:bCs/>
                <w:sz w:val="24"/>
                <w:szCs w:val="24"/>
              </w:rPr>
            </w:pPr>
            <w:r>
              <w:rPr>
                <w:rFonts w:hint="eastAsia" w:ascii="仿宋" w:hAnsi="仿宋" w:eastAsia="仿宋" w:cs="仿宋"/>
                <w:bCs/>
                <w:sz w:val="24"/>
                <w:szCs w:val="24"/>
              </w:rPr>
              <w:t>模式识别</w:t>
            </w:r>
          </w:p>
        </w:tc>
        <w:tc>
          <w:tcPr>
            <w:tcW w:w="4297" w:type="dxa"/>
            <w:vAlign w:val="center"/>
          </w:tcPr>
          <w:p>
            <w:pPr>
              <w:pStyle w:val="11"/>
              <w:numPr>
                <w:ilvl w:val="0"/>
                <w:numId w:val="3"/>
              </w:numPr>
              <w:adjustRightInd w:val="0"/>
              <w:snapToGrid w:val="0"/>
              <w:ind w:firstLineChars="0"/>
              <w:jc w:val="left"/>
              <w:rPr>
                <w:rFonts w:ascii="仿宋" w:hAnsi="仿宋" w:eastAsia="仿宋" w:cs="仿宋"/>
                <w:bCs/>
                <w:sz w:val="24"/>
                <w:szCs w:val="24"/>
              </w:rPr>
            </w:pPr>
            <w:r>
              <w:rPr>
                <w:rFonts w:hint="eastAsia" w:ascii="仿宋" w:hAnsi="仿宋" w:eastAsia="仿宋" w:cs="仿宋"/>
                <w:bCs/>
                <w:sz w:val="24"/>
                <w:szCs w:val="24"/>
                <w:lang w:val="zh-CN"/>
              </w:rPr>
              <w:t>可扩展的样本自适应多核聚类</w:t>
            </w:r>
          </w:p>
        </w:tc>
        <w:tc>
          <w:tcPr>
            <w:tcW w:w="732"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281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color w:val="auto"/>
                <w:sz w:val="24"/>
                <w:szCs w:val="24"/>
                <w:u w:val="none"/>
              </w:rPr>
              <w:t>jpyin@nudt.edu.cn</w:t>
            </w:r>
          </w:p>
          <w:p>
            <w:pPr>
              <w:adjustRightInd w:val="0"/>
              <w:snapToGrid w:val="0"/>
              <w:jc w:val="center"/>
              <w:rPr>
                <w:rFonts w:hint="eastAsia" w:ascii="仿宋" w:hAnsi="仿宋" w:eastAsia="仿宋" w:cs="仿宋"/>
                <w:bCs/>
                <w:sz w:val="24"/>
                <w:szCs w:val="24"/>
              </w:rPr>
            </w:pPr>
            <w:r>
              <w:rPr>
                <w:rFonts w:hint="eastAsia" w:ascii="仿宋" w:hAnsi="仿宋" w:eastAsia="仿宋" w:cs="仿宋"/>
                <w:bCs/>
                <w:color w:val="auto"/>
                <w:sz w:val="24"/>
                <w:szCs w:val="24"/>
                <w:u w:val="none"/>
              </w:rPr>
              <w:t>zxz@zjnu.cn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鄂世举</w:t>
            </w:r>
          </w:p>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王冬云</w:t>
            </w:r>
          </w:p>
        </w:tc>
        <w:tc>
          <w:tcPr>
            <w:tcW w:w="1515"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智能信息处理</w:t>
            </w:r>
          </w:p>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智能制造</w:t>
            </w:r>
          </w:p>
        </w:tc>
        <w:tc>
          <w:tcPr>
            <w:tcW w:w="4297" w:type="dxa"/>
            <w:vAlign w:val="center"/>
          </w:tcPr>
          <w:p>
            <w:pPr>
              <w:pStyle w:val="11"/>
              <w:numPr>
                <w:ilvl w:val="0"/>
                <w:numId w:val="4"/>
              </w:numPr>
              <w:adjustRightInd w:val="0"/>
              <w:snapToGrid w:val="0"/>
              <w:ind w:firstLineChars="0"/>
              <w:jc w:val="left"/>
              <w:rPr>
                <w:rFonts w:ascii="仿宋" w:hAnsi="仿宋" w:eastAsia="仿宋" w:cs="仿宋"/>
                <w:bCs/>
                <w:sz w:val="24"/>
                <w:szCs w:val="24"/>
              </w:rPr>
            </w:pPr>
            <w:r>
              <w:rPr>
                <w:rFonts w:hint="eastAsia" w:ascii="仿宋" w:hAnsi="仿宋" w:eastAsia="仿宋" w:cs="仿宋"/>
                <w:bCs/>
                <w:sz w:val="24"/>
                <w:szCs w:val="24"/>
              </w:rPr>
              <w:t>基于大数据深度学习的微电机装配智能制造技术研究与应用</w:t>
            </w:r>
          </w:p>
          <w:p>
            <w:pPr>
              <w:pStyle w:val="11"/>
              <w:numPr>
                <w:ilvl w:val="0"/>
                <w:numId w:val="4"/>
              </w:numPr>
              <w:adjustRightInd w:val="0"/>
              <w:snapToGrid w:val="0"/>
              <w:ind w:firstLineChars="0"/>
              <w:jc w:val="left"/>
              <w:rPr>
                <w:rFonts w:hint="eastAsia" w:ascii="仿宋" w:hAnsi="仿宋" w:eastAsia="仿宋" w:cs="仿宋"/>
                <w:bCs/>
                <w:sz w:val="24"/>
                <w:szCs w:val="24"/>
              </w:rPr>
            </w:pPr>
            <w:r>
              <w:rPr>
                <w:rFonts w:hint="eastAsia" w:ascii="仿宋" w:hAnsi="仿宋" w:eastAsia="仿宋" w:cs="仿宋"/>
                <w:bCs/>
                <w:sz w:val="24"/>
                <w:szCs w:val="24"/>
              </w:rPr>
              <w:t>5G+智能制造</w:t>
            </w:r>
          </w:p>
        </w:tc>
        <w:tc>
          <w:tcPr>
            <w:tcW w:w="732"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281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color w:val="auto"/>
                <w:sz w:val="24"/>
                <w:szCs w:val="24"/>
                <w:u w:val="none"/>
              </w:rPr>
              <w:t>esx_2001@zjnu.cn</w:t>
            </w:r>
          </w:p>
          <w:p>
            <w:pPr>
              <w:adjustRightInd w:val="0"/>
              <w:snapToGrid w:val="0"/>
              <w:jc w:val="center"/>
              <w:rPr>
                <w:rFonts w:hint="eastAsia" w:ascii="仿宋" w:hAnsi="仿宋" w:eastAsia="仿宋" w:cs="仿宋"/>
                <w:bCs/>
                <w:sz w:val="24"/>
                <w:szCs w:val="24"/>
              </w:rPr>
            </w:pPr>
            <w:r>
              <w:rPr>
                <w:rFonts w:hint="eastAsia" w:ascii="仿宋" w:hAnsi="仿宋" w:eastAsia="仿宋" w:cs="仿宋"/>
                <w:bCs/>
                <w:color w:val="auto"/>
                <w:sz w:val="24"/>
                <w:szCs w:val="24"/>
                <w:u w:val="none"/>
              </w:rPr>
              <w:t>Zsdwdy@zjnu.edu.cn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246"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蔡秀珊</w:t>
            </w:r>
          </w:p>
          <w:p>
            <w:pPr>
              <w:adjustRightInd w:val="0"/>
              <w:snapToGrid w:val="0"/>
              <w:jc w:val="center"/>
              <w:rPr>
                <w:rFonts w:hint="eastAsia" w:ascii="仿宋" w:hAnsi="仿宋" w:eastAsia="仿宋" w:cs="仿宋"/>
                <w:bCs/>
                <w:sz w:val="24"/>
                <w:szCs w:val="24"/>
              </w:rPr>
            </w:pPr>
            <w:r>
              <w:rPr>
                <w:rFonts w:hint="eastAsia" w:ascii="仿宋" w:hAnsi="仿宋" w:eastAsia="仿宋" w:cs="仿宋"/>
                <w:bCs/>
                <w:sz w:val="24"/>
                <w:szCs w:val="24"/>
              </w:rPr>
              <w:t>李熹平</w:t>
            </w:r>
          </w:p>
        </w:tc>
        <w:tc>
          <w:tcPr>
            <w:tcW w:w="1515"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智能控制</w:t>
            </w:r>
          </w:p>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计算机辅助设计</w:t>
            </w:r>
          </w:p>
        </w:tc>
        <w:tc>
          <w:tcPr>
            <w:tcW w:w="4297" w:type="dxa"/>
            <w:vAlign w:val="center"/>
          </w:tcPr>
          <w:p>
            <w:pPr>
              <w:pStyle w:val="11"/>
              <w:numPr>
                <w:ilvl w:val="0"/>
                <w:numId w:val="5"/>
              </w:numPr>
              <w:adjustRightInd w:val="0"/>
              <w:snapToGrid w:val="0"/>
              <w:ind w:firstLineChars="0"/>
              <w:jc w:val="left"/>
              <w:rPr>
                <w:rFonts w:ascii="仿宋" w:hAnsi="仿宋" w:eastAsia="仿宋" w:cs="仿宋"/>
                <w:bCs/>
                <w:sz w:val="24"/>
                <w:szCs w:val="24"/>
              </w:rPr>
            </w:pPr>
            <w:r>
              <w:rPr>
                <w:rFonts w:hint="eastAsia" w:ascii="仿宋" w:hAnsi="仿宋" w:eastAsia="仿宋" w:cs="仿宋"/>
                <w:bCs/>
                <w:sz w:val="24"/>
                <w:szCs w:val="24"/>
              </w:rPr>
              <w:t>非线性ODE-PDE串接系统的输入-状态镇定与逆最优控制</w:t>
            </w:r>
          </w:p>
          <w:p>
            <w:pPr>
              <w:pStyle w:val="11"/>
              <w:numPr>
                <w:ilvl w:val="0"/>
                <w:numId w:val="5"/>
              </w:numPr>
              <w:adjustRightInd w:val="0"/>
              <w:snapToGrid w:val="0"/>
              <w:ind w:firstLineChars="0"/>
              <w:jc w:val="left"/>
              <w:rPr>
                <w:rFonts w:ascii="仿宋" w:hAnsi="仿宋" w:eastAsia="仿宋" w:cs="仿宋"/>
                <w:bCs/>
                <w:sz w:val="24"/>
                <w:szCs w:val="24"/>
              </w:rPr>
            </w:pPr>
            <w:r>
              <w:rPr>
                <w:rFonts w:hint="eastAsia" w:ascii="仿宋" w:hAnsi="仿宋" w:eastAsia="仿宋" w:cs="仿宋"/>
                <w:bCs/>
                <w:sz w:val="24"/>
                <w:szCs w:val="24"/>
              </w:rPr>
              <w:t>智能化成形技术与装备</w:t>
            </w:r>
          </w:p>
        </w:tc>
        <w:tc>
          <w:tcPr>
            <w:tcW w:w="732" w:type="dxa"/>
            <w:vAlign w:val="center"/>
          </w:tcPr>
          <w:p>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2816" w:type="dxa"/>
            <w:vAlign w:val="center"/>
          </w:tcPr>
          <w:p>
            <w:pPr>
              <w:adjustRightInd w:val="0"/>
              <w:snapToGrid w:val="0"/>
              <w:jc w:val="center"/>
              <w:rPr>
                <w:rFonts w:hint="eastAsia" w:ascii="仿宋" w:hAnsi="仿宋" w:eastAsia="仿宋" w:cs="仿宋"/>
                <w:bCs/>
                <w:sz w:val="24"/>
                <w:szCs w:val="24"/>
              </w:rPr>
            </w:pPr>
            <w:r>
              <w:rPr>
                <w:rFonts w:hint="eastAsia" w:ascii="仿宋" w:hAnsi="仿宋" w:eastAsia="仿宋" w:cs="仿宋"/>
                <w:bCs/>
                <w:color w:val="auto"/>
                <w:sz w:val="24"/>
                <w:szCs w:val="24"/>
                <w:u w:val="none"/>
              </w:rPr>
              <w:t>Xiushan@zjnu.cn</w:t>
            </w:r>
          </w:p>
          <w:p>
            <w:pPr>
              <w:adjustRightInd w:val="0"/>
              <w:snapToGrid w:val="0"/>
              <w:jc w:val="center"/>
              <w:rPr>
                <w:rFonts w:hint="eastAsia" w:ascii="仿宋" w:hAnsi="仿宋" w:eastAsia="仿宋" w:cs="仿宋"/>
                <w:bCs/>
                <w:sz w:val="24"/>
                <w:szCs w:val="24"/>
              </w:rPr>
            </w:pPr>
            <w:r>
              <w:rPr>
                <w:rFonts w:hint="eastAsia" w:ascii="仿宋" w:hAnsi="仿宋" w:eastAsia="仿宋" w:cs="仿宋"/>
                <w:bCs/>
                <w:color w:val="auto"/>
                <w:sz w:val="24"/>
                <w:szCs w:val="24"/>
                <w:u w:val="none"/>
              </w:rPr>
              <w:t>lxp2010@zjnu.cn</w:t>
            </w:r>
          </w:p>
        </w:tc>
      </w:tr>
    </w:tbl>
    <w:p>
      <w:pPr>
        <w:pStyle w:val="3"/>
      </w:pPr>
      <w:r>
        <w:rPr>
          <w:rFonts w:hint="eastAsia"/>
        </w:rPr>
        <w:t>三、相关待遇</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（一）非委托培养的博士后人员实行年薪制，年薪25万元人民币(含社保、公积金等相关费用)。</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二）博士后在站期间，根据实际情况，可租住学校住房，并按学校有关规定缴纳租金，或由学校提供租房补贴校本部1200元人民币/月，杭州校区1800元人民币/月。在职博士后、本地有住房的博士后，学校均不提供住房或租房补贴。</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三）凡在我校从事博士后研究工作期间以浙江师范大学为第一署名单位发表的论文和获奖成果等，统一纳入学校科研奖励范围。若博士后以我校为第一单位且第一作者（或第一通讯作者）身份，与合作导师共同发表的论文，其奖励参照《浙江师范大学科研业绩计分办法（2017年修订）》的比例进行分配。</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（四）学校资助新进站人文社会科学博士后5万元人民币科研启动费、自然科学博士后10万元人民币科研启动费，用于博士后开展相关研究工作。</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（五）根据《浙江师范大学博士后研究人员考核办法》及相关政策进行中期、出站考核，考核优秀者可享受绩效考核奖2万元人民币。</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六）博士后人员出站考核优秀，符合所在学科招聘计划的，可直接聘用，并享受当年人才引进相关政策待遇，其博士后期间的科研成果可纳入A类博士、青年教授（副教授）、高层次青年人才培养项目等聘期目标任务考核范围。</w:t>
      </w:r>
    </w:p>
    <w:p>
      <w:pPr>
        <w:pStyle w:val="3"/>
      </w:pPr>
      <w:r>
        <w:rPr>
          <w:rFonts w:hint="eastAsia"/>
        </w:rPr>
        <w:t>四、联系方式</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邮箱：</w:t>
      </w:r>
      <w:r>
        <w:rPr>
          <w:rFonts w:hint="eastAsia" w:ascii="仿宋" w:hAnsi="仿宋" w:eastAsia="仿宋" w:cs="Times New Roman"/>
          <w:color w:val="auto"/>
          <w:sz w:val="28"/>
          <w:szCs w:val="28"/>
          <w:u w:val="none"/>
        </w:rPr>
        <w:t>sjxy@zjnu.edu</w:t>
      </w:r>
      <w:bookmarkStart w:id="0" w:name="_GoBack"/>
      <w:bookmarkEnd w:id="0"/>
      <w:r>
        <w:rPr>
          <w:rFonts w:hint="eastAsia" w:ascii="仿宋" w:hAnsi="仿宋" w:eastAsia="仿宋" w:cs="Times New Roman"/>
          <w:color w:val="auto"/>
          <w:sz w:val="28"/>
          <w:szCs w:val="28"/>
          <w:u w:val="none"/>
        </w:rPr>
        <w:t>.cn</w:t>
      </w:r>
    </w:p>
    <w:p>
      <w:pPr>
        <w:spacing w:line="44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电话：0579-82298866</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0772B"/>
    <w:multiLevelType w:val="multilevel"/>
    <w:tmpl w:val="270077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8F350B"/>
    <w:multiLevelType w:val="multilevel"/>
    <w:tmpl w:val="428F350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03685D"/>
    <w:multiLevelType w:val="multilevel"/>
    <w:tmpl w:val="4F03685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D001C1"/>
    <w:multiLevelType w:val="multilevel"/>
    <w:tmpl w:val="6AD001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DA27582"/>
    <w:multiLevelType w:val="multilevel"/>
    <w:tmpl w:val="7DA2758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F3409"/>
    <w:rsid w:val="00336037"/>
    <w:rsid w:val="0041691D"/>
    <w:rsid w:val="00432A1E"/>
    <w:rsid w:val="004E310B"/>
    <w:rsid w:val="007652FA"/>
    <w:rsid w:val="009172D2"/>
    <w:rsid w:val="00AE22B2"/>
    <w:rsid w:val="00C810C5"/>
    <w:rsid w:val="00DB6EDE"/>
    <w:rsid w:val="00FF3BF5"/>
    <w:rsid w:val="00FF3C5D"/>
    <w:rsid w:val="00FF7236"/>
    <w:rsid w:val="11CE0352"/>
    <w:rsid w:val="13750EA4"/>
    <w:rsid w:val="32660BF2"/>
    <w:rsid w:val="40A46E5E"/>
    <w:rsid w:val="428F3409"/>
    <w:rsid w:val="43394D82"/>
    <w:rsid w:val="53155469"/>
    <w:rsid w:val="53CA5AF3"/>
    <w:rsid w:val="54065DE1"/>
    <w:rsid w:val="5FC474EB"/>
    <w:rsid w:val="6710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0"/>
    <w:rPr>
      <w:rFonts w:ascii="Calibri" w:hAnsi="Calibri" w:eastAsia="宋体" w:cs="Calibri"/>
      <w:kern w:val="2"/>
      <w:sz w:val="18"/>
      <w:szCs w:val="18"/>
    </w:rPr>
  </w:style>
  <w:style w:type="character" w:customStyle="1" w:styleId="10">
    <w:name w:val="页脚 字符"/>
    <w:basedOn w:val="7"/>
    <w:link w:val="4"/>
    <w:uiPriority w:val="0"/>
    <w:rPr>
      <w:rFonts w:ascii="Calibri" w:hAnsi="Calibri" w:eastAsia="宋体" w:cs="Calibri"/>
      <w:kern w:val="2"/>
      <w:sz w:val="18"/>
      <w:szCs w:val="18"/>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400</Words>
  <Characters>2285</Characters>
  <Lines>19</Lines>
  <Paragraphs>5</Paragraphs>
  <TotalTime>246</TotalTime>
  <ScaleCrop>false</ScaleCrop>
  <LinksUpToDate>false</LinksUpToDate>
  <CharactersWithSpaces>2680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2020-02-29T08:41:00Z</dcterms:created>
  <dc:creator>畅仔仔</dc:creator>
  <cp:lastModifiedBy>项晓玲</cp:lastModifiedBy>
  <dcterms:modified xsi:type="dcterms:W3CDTF">2022-01-29T02:41:23Z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KSORubyTemplateID" linkTarget="0">
    <vt:lpwstr>6</vt:lpwstr>
  </property>
  <property fmtid="{D5CDD505-2E9C-101B-9397-08002B2CF9AE}" pid="4" name="ICV">
    <vt:lpwstr>1E504E84B164497FA7D32CD47205A5D6</vt:lpwstr>
  </property>
</Properties>
</file>